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776D4D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776D4D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7E06F21C" w14:textId="00BE5D66" w:rsidR="00532743" w:rsidRDefault="00656F03" w:rsidP="00656F03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Evaluación</w:t>
            </w:r>
            <w:r w:rsidR="00104F70">
              <w:rPr>
                <w:sz w:val="22"/>
                <w:szCs w:val="22"/>
                <w:lang w:val="es-ES"/>
              </w:rPr>
              <w:t xml:space="preserve"> longitudinal de la conectividad estructural </w:t>
            </w:r>
            <w:r w:rsidR="002E4C22">
              <w:rPr>
                <w:sz w:val="22"/>
                <w:szCs w:val="22"/>
                <w:lang w:val="es-ES"/>
              </w:rPr>
              <w:t xml:space="preserve">cerebral </w:t>
            </w:r>
            <w:r>
              <w:rPr>
                <w:sz w:val="22"/>
                <w:szCs w:val="22"/>
                <w:lang w:val="es-ES"/>
              </w:rPr>
              <w:t>basada en</w:t>
            </w:r>
            <w:r w:rsidR="002E4C22">
              <w:rPr>
                <w:sz w:val="22"/>
                <w:szCs w:val="22"/>
                <w:lang w:val="es-ES"/>
              </w:rPr>
              <w:t xml:space="preserve"> procesado de imagen por resonancia magnética de difusión</w:t>
            </w:r>
            <w:r w:rsidR="00104F70">
              <w:rPr>
                <w:sz w:val="22"/>
                <w:szCs w:val="22"/>
                <w:lang w:val="es-ES"/>
              </w:rPr>
              <w:t xml:space="preserve"> en</w:t>
            </w:r>
            <w:r w:rsidR="002D6C9B">
              <w:rPr>
                <w:sz w:val="22"/>
                <w:szCs w:val="22"/>
                <w:lang w:val="es-ES"/>
              </w:rPr>
              <w:t xml:space="preserve"> pacientes con</w:t>
            </w:r>
            <w:r w:rsidR="00104F70">
              <w:rPr>
                <w:sz w:val="22"/>
                <w:szCs w:val="22"/>
                <w:lang w:val="es-ES"/>
              </w:rPr>
              <w:t xml:space="preserve"> migraña </w:t>
            </w:r>
            <w:r w:rsidR="002E4C22">
              <w:rPr>
                <w:sz w:val="22"/>
                <w:szCs w:val="22"/>
                <w:lang w:val="es-ES"/>
              </w:rPr>
              <w:t>tratados</w:t>
            </w:r>
            <w:r w:rsidR="00104F70">
              <w:rPr>
                <w:sz w:val="22"/>
                <w:szCs w:val="22"/>
                <w:lang w:val="es-ES"/>
              </w:rPr>
              <w:t xml:space="preserve"> con fremanezumab</w:t>
            </w:r>
          </w:p>
          <w:p w14:paraId="7F56C29C" w14:textId="0313CE31" w:rsidR="00104F70" w:rsidRPr="00532743" w:rsidRDefault="00104F70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04F70" w:rsidRPr="00104F70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22758497" w:rsidR="00104F70" w:rsidRPr="004F5A97" w:rsidRDefault="00104F70" w:rsidP="00104F70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16C6389" w14:textId="77777777" w:rsidR="00104F70" w:rsidRDefault="00104F70" w:rsidP="00104F70">
            <w:pPr>
              <w:rPr>
                <w:rFonts w:ascii="Calibri" w:eastAsia="Calibri" w:hAnsi="Calibri" w:cs="Times New Roman"/>
                <w:sz w:val="22"/>
                <w:szCs w:val="22"/>
                <w:lang w:val="es-ES"/>
              </w:rPr>
            </w:pPr>
          </w:p>
          <w:p w14:paraId="0633279C" w14:textId="73833EEC" w:rsidR="00104F70" w:rsidRDefault="00104F70" w:rsidP="00104F70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Álvaro Planchuelo Gómez</w:t>
            </w:r>
          </w:p>
          <w:p w14:paraId="54900222" w14:textId="46EAD890" w:rsidR="00104F70" w:rsidRPr="00532743" w:rsidRDefault="00104F70" w:rsidP="00104F70">
            <w:pPr>
              <w:rPr>
                <w:sz w:val="22"/>
                <w:szCs w:val="22"/>
                <w:lang w:val="es-ES"/>
              </w:rPr>
            </w:pPr>
          </w:p>
        </w:tc>
      </w:tr>
      <w:tr w:rsidR="00104F70" w:rsidRPr="00776D4D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3DD744D" w:rsidR="00104F70" w:rsidRPr="004F5A97" w:rsidRDefault="00104F70" w:rsidP="00104F70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1C37D2D" w14:textId="77777777" w:rsidR="00104F70" w:rsidRPr="00C652F3" w:rsidRDefault="00104F70" w:rsidP="00104F70">
            <w:pPr>
              <w:spacing w:line="256" w:lineRule="auto"/>
              <w:rPr>
                <w:rFonts w:cs="Calibri"/>
                <w:color w:val="000000" w:themeColor="text1"/>
                <w:sz w:val="22"/>
                <w:szCs w:val="22"/>
                <w:lang w:val="es-ES"/>
              </w:rPr>
            </w:pPr>
            <w:r w:rsidRPr="00C652F3">
              <w:rPr>
                <w:lang w:val="es-ES"/>
              </w:rPr>
              <w:br/>
            </w:r>
            <w:r w:rsidRPr="00C652F3">
              <w:rPr>
                <w:rFonts w:cs="Calibri"/>
                <w:color w:val="000000" w:themeColor="text1"/>
                <w:sz w:val="22"/>
                <w:szCs w:val="22"/>
                <w:lang w:val="es-ES"/>
              </w:rPr>
              <w:t>Departamento de Teoría de la Señal y Comunicaciones e Ingeniería Telemática (TSCIT)</w:t>
            </w:r>
          </w:p>
          <w:p w14:paraId="2D038842" w14:textId="5553A9C0" w:rsidR="00104F70" w:rsidRPr="00532743" w:rsidRDefault="00104F70" w:rsidP="00104F70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776D4D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6D10BD5" w14:textId="048E7030" w:rsidR="00532743" w:rsidRDefault="001C01D7" w:rsidP="001C01D7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 migraña es una enfermedad neurológica </w:t>
            </w:r>
            <w:r w:rsidR="00560E1B">
              <w:rPr>
                <w:sz w:val="22"/>
                <w:szCs w:val="22"/>
                <w:lang w:val="es-ES"/>
              </w:rPr>
              <w:t>que es</w:t>
            </w:r>
            <w:r>
              <w:rPr>
                <w:sz w:val="22"/>
                <w:szCs w:val="22"/>
                <w:lang w:val="es-ES"/>
              </w:rPr>
              <w:t xml:space="preserve"> la primera causa de discapacidad en adultos menores de 50 años en España. Los pacientes sufren episodios cíclicos de cefalea con síntomas acompañantes.</w:t>
            </w:r>
            <w:r w:rsidR="00971B83">
              <w:rPr>
                <w:sz w:val="22"/>
                <w:szCs w:val="22"/>
                <w:lang w:val="es-ES"/>
              </w:rPr>
              <w:t xml:space="preserve"> Para la gestión de la migraña, existen tratamientos preventivos específicos con alta eficacia, entre los que se encuentra el fremanezumab. Para comprender la evolución de los pacientes </w:t>
            </w:r>
            <w:r w:rsidR="00560E1B">
              <w:rPr>
                <w:sz w:val="22"/>
                <w:szCs w:val="22"/>
                <w:lang w:val="es-ES"/>
              </w:rPr>
              <w:t>relacionada con</w:t>
            </w:r>
            <w:r w:rsidR="00971B83">
              <w:rPr>
                <w:sz w:val="22"/>
                <w:szCs w:val="22"/>
                <w:lang w:val="es-ES"/>
              </w:rPr>
              <w:t xml:space="preserve"> la respuesta al tratamiento, la conectómica permite analizar la conectividad estructural </w:t>
            </w:r>
            <w:r w:rsidR="00560E1B">
              <w:rPr>
                <w:sz w:val="22"/>
                <w:szCs w:val="22"/>
                <w:lang w:val="es-ES"/>
              </w:rPr>
              <w:t>mediante</w:t>
            </w:r>
            <w:r w:rsidR="00971B83">
              <w:rPr>
                <w:sz w:val="22"/>
                <w:szCs w:val="22"/>
                <w:lang w:val="es-ES"/>
              </w:rPr>
              <w:t xml:space="preserve"> imagen por resonancia magnética (IRM) cerebral ponderada en difusión y en T1.</w:t>
            </w: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1A450B9B" w:rsidR="00191454" w:rsidRPr="00532743" w:rsidRDefault="00971B83" w:rsidP="00E97175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Este TFG consiste en el análisis longitudinal de la conectividad estructural </w:t>
            </w:r>
            <w:r w:rsidR="00560E1B">
              <w:rPr>
                <w:sz w:val="22"/>
                <w:szCs w:val="22"/>
                <w:lang w:val="es-ES"/>
              </w:rPr>
              <w:t>en el contexto</w:t>
            </w:r>
            <w:r>
              <w:rPr>
                <w:sz w:val="22"/>
                <w:szCs w:val="22"/>
                <w:lang w:val="es-ES"/>
              </w:rPr>
              <w:t xml:space="preserve"> de un ensayo clínico abierto y controlado. </w:t>
            </w:r>
            <w:r w:rsidR="00E70FED">
              <w:rPr>
                <w:sz w:val="22"/>
                <w:szCs w:val="22"/>
                <w:lang w:val="es-ES"/>
              </w:rPr>
              <w:t>Se</w:t>
            </w:r>
            <w:r>
              <w:rPr>
                <w:sz w:val="22"/>
                <w:szCs w:val="22"/>
                <w:lang w:val="es-ES"/>
              </w:rPr>
              <w:t xml:space="preserve"> usarán datos de IRM adquiridos </w:t>
            </w:r>
            <w:r w:rsidR="007E747E">
              <w:rPr>
                <w:sz w:val="22"/>
                <w:szCs w:val="22"/>
                <w:lang w:val="es-ES"/>
              </w:rPr>
              <w:t xml:space="preserve">justo </w:t>
            </w:r>
            <w:r>
              <w:rPr>
                <w:sz w:val="22"/>
                <w:szCs w:val="22"/>
                <w:lang w:val="es-ES"/>
              </w:rPr>
              <w:t>antes</w:t>
            </w:r>
            <w:r w:rsidR="007E747E">
              <w:rPr>
                <w:sz w:val="22"/>
                <w:szCs w:val="22"/>
                <w:lang w:val="es-ES"/>
              </w:rPr>
              <w:t xml:space="preserve"> y a los 3 meses</w:t>
            </w:r>
            <w:r>
              <w:rPr>
                <w:sz w:val="22"/>
                <w:szCs w:val="22"/>
                <w:lang w:val="es-ES"/>
              </w:rPr>
              <w:t xml:space="preserve"> de comenzar el tratamiento</w:t>
            </w:r>
            <w:r w:rsidR="00E70FED">
              <w:rPr>
                <w:sz w:val="22"/>
                <w:szCs w:val="22"/>
                <w:lang w:val="es-ES"/>
              </w:rPr>
              <w:t xml:space="preserve"> con fremanezumab</w:t>
            </w:r>
            <w:r w:rsidR="007E747E">
              <w:rPr>
                <w:sz w:val="22"/>
                <w:szCs w:val="22"/>
                <w:lang w:val="es-ES"/>
              </w:rPr>
              <w:t>.</w:t>
            </w:r>
            <w:r w:rsidR="00E97175">
              <w:rPr>
                <w:sz w:val="22"/>
                <w:szCs w:val="22"/>
                <w:lang w:val="es-ES"/>
              </w:rPr>
              <w:t xml:space="preserve"> Se implementarán técnicas para realizar tractografía y obtener matrices de conectividad estructural, aplicando métodos de análisis longitudinal para relacionar la respuesta clínica con el cambio estructural.</w:t>
            </w:r>
          </w:p>
        </w:tc>
      </w:tr>
      <w:tr w:rsidR="00191454" w:rsidRPr="00776D4D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D313FCB" w:rsidR="004F5A97" w:rsidRPr="00532743" w:rsidRDefault="0097379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Conectómica, Imagen por resonancia magnética de difusión, Migraña</w:t>
            </w:r>
            <w:r w:rsidR="004A41A3">
              <w:rPr>
                <w:sz w:val="22"/>
                <w:szCs w:val="22"/>
                <w:lang w:val="es-ES"/>
              </w:rPr>
              <w:t>, Neuroimagen, Fremanezumab</w:t>
            </w:r>
          </w:p>
        </w:tc>
      </w:tr>
      <w:tr w:rsidR="00191454" w:rsidRPr="00776D4D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8E2DE8D" w14:textId="77777777" w:rsidR="00191454" w:rsidRDefault="001C01D7" w:rsidP="001C01D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CG1. Adquirir conocimientos y habilidades adecuados para analizar y sintetizar problemas básicos relacionados con la ingeniería y las ciencias biomédicas, resolverlos utilizando el método científico y comunicarlos de forma eficiente. </w:t>
            </w:r>
          </w:p>
          <w:p w14:paraId="21A48F1E" w14:textId="77777777" w:rsidR="001C01D7" w:rsidRDefault="001C01D7" w:rsidP="001C01D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CG9. Redactar, representar e interpretar documentación científico-técnica.</w:t>
            </w:r>
          </w:p>
          <w:p w14:paraId="32567B2F" w14:textId="57CF6E31" w:rsidR="001C01D7" w:rsidRPr="001C01D7" w:rsidRDefault="001C01D7" w:rsidP="001C01D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CE32. 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adquiridas.</w:t>
            </w:r>
          </w:p>
        </w:tc>
      </w:tr>
      <w:tr w:rsidR="00191454" w:rsidRPr="00776D4D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lastRenderedPageBreak/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55A350D1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776D4D">
              <w:rPr>
                <w:sz w:val="22"/>
                <w:szCs w:val="22"/>
                <w:lang w:val="es-ES"/>
              </w:rPr>
              <w:t xml:space="preserve"> Sheila Arrillaga Martínez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776D4D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8D2FAC1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65DA661D" w:rsidR="004F5A97" w:rsidRPr="00532743" w:rsidRDefault="00117AC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3CE165E0" w:rsidR="004F5A97" w:rsidRPr="00532743" w:rsidRDefault="00117AC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Antonio Tristán Vega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49410654" w:rsidR="004F5A97" w:rsidRPr="00532743" w:rsidRDefault="00117AC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Álvaro Planchuelo Gómez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4C6A492" w:rsidR="004F5A97" w:rsidRPr="00532743" w:rsidRDefault="00117AC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9368B23" w:rsidR="00394C26" w:rsidRPr="00532743" w:rsidRDefault="00117AC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E3806" w14:textId="77777777" w:rsidR="00490DB2" w:rsidRDefault="00490DB2" w:rsidP="001A5F33">
      <w:r>
        <w:separator/>
      </w:r>
    </w:p>
  </w:endnote>
  <w:endnote w:type="continuationSeparator" w:id="0">
    <w:p w14:paraId="7B17A18A" w14:textId="77777777" w:rsidR="00490DB2" w:rsidRDefault="00490DB2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DDCC5" w14:textId="77777777" w:rsidR="00490DB2" w:rsidRDefault="00490DB2" w:rsidP="001A5F33">
      <w:r>
        <w:separator/>
      </w:r>
    </w:p>
  </w:footnote>
  <w:footnote w:type="continuationSeparator" w:id="0">
    <w:p w14:paraId="1DF6CBA5" w14:textId="77777777" w:rsidR="00490DB2" w:rsidRDefault="00490DB2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281912530">
    <w:abstractNumId w:val="2"/>
  </w:num>
  <w:num w:numId="2" w16cid:durableId="1731919992">
    <w:abstractNumId w:val="0"/>
  </w:num>
  <w:num w:numId="3" w16cid:durableId="877665645">
    <w:abstractNumId w:val="3"/>
  </w:num>
  <w:num w:numId="4" w16cid:durableId="38911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04F70"/>
    <w:rsid w:val="00117AC5"/>
    <w:rsid w:val="001322D4"/>
    <w:rsid w:val="00144349"/>
    <w:rsid w:val="0017543C"/>
    <w:rsid w:val="00191454"/>
    <w:rsid w:val="001A5F33"/>
    <w:rsid w:val="001C01D7"/>
    <w:rsid w:val="001E52AB"/>
    <w:rsid w:val="002075AB"/>
    <w:rsid w:val="002555E5"/>
    <w:rsid w:val="0027449F"/>
    <w:rsid w:val="002872FA"/>
    <w:rsid w:val="002D6C9B"/>
    <w:rsid w:val="002E4C22"/>
    <w:rsid w:val="00306D6E"/>
    <w:rsid w:val="003167BA"/>
    <w:rsid w:val="00394C26"/>
    <w:rsid w:val="003A2734"/>
    <w:rsid w:val="003B3ADF"/>
    <w:rsid w:val="00400C29"/>
    <w:rsid w:val="00445EC9"/>
    <w:rsid w:val="00483FE0"/>
    <w:rsid w:val="00490DB2"/>
    <w:rsid w:val="004A41A3"/>
    <w:rsid w:val="004F5A97"/>
    <w:rsid w:val="00512C3F"/>
    <w:rsid w:val="00532743"/>
    <w:rsid w:val="005428E9"/>
    <w:rsid w:val="005549A2"/>
    <w:rsid w:val="00560E1B"/>
    <w:rsid w:val="005B420F"/>
    <w:rsid w:val="00622B54"/>
    <w:rsid w:val="0063749D"/>
    <w:rsid w:val="00656F03"/>
    <w:rsid w:val="00666534"/>
    <w:rsid w:val="00671857"/>
    <w:rsid w:val="00672F3F"/>
    <w:rsid w:val="0073575C"/>
    <w:rsid w:val="00746A7B"/>
    <w:rsid w:val="00776D4D"/>
    <w:rsid w:val="00790395"/>
    <w:rsid w:val="007B012B"/>
    <w:rsid w:val="007B03D3"/>
    <w:rsid w:val="007D7D0E"/>
    <w:rsid w:val="007E747E"/>
    <w:rsid w:val="007F5224"/>
    <w:rsid w:val="0080541A"/>
    <w:rsid w:val="00863BDA"/>
    <w:rsid w:val="008D2EBF"/>
    <w:rsid w:val="008F4FEB"/>
    <w:rsid w:val="00907F6B"/>
    <w:rsid w:val="009571E0"/>
    <w:rsid w:val="00971B83"/>
    <w:rsid w:val="00973791"/>
    <w:rsid w:val="00987153"/>
    <w:rsid w:val="00A20D63"/>
    <w:rsid w:val="00B47BED"/>
    <w:rsid w:val="00B81D69"/>
    <w:rsid w:val="00BA0607"/>
    <w:rsid w:val="00BC326D"/>
    <w:rsid w:val="00BD4ED3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E70FED"/>
    <w:rsid w:val="00E97175"/>
    <w:rsid w:val="00F046BE"/>
    <w:rsid w:val="00F13D3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ALVARO PLANCHUELO GOMEZ</cp:lastModifiedBy>
  <cp:revision>15</cp:revision>
  <cp:lastPrinted>2022-06-16T18:10:00Z</cp:lastPrinted>
  <dcterms:created xsi:type="dcterms:W3CDTF">2025-09-23T07:27:00Z</dcterms:created>
  <dcterms:modified xsi:type="dcterms:W3CDTF">2025-09-23T10:34:00Z</dcterms:modified>
</cp:coreProperties>
</file>