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C3444E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C3444E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107D1FE5" w:rsidR="00532743" w:rsidRPr="00532743" w:rsidRDefault="004B2E23" w:rsidP="004B2E23">
            <w:pPr>
              <w:jc w:val="both"/>
              <w:rPr>
                <w:sz w:val="22"/>
                <w:szCs w:val="22"/>
                <w:lang w:val="es-ES"/>
              </w:rPr>
            </w:pPr>
            <w:r w:rsidRPr="004B2E23">
              <w:rPr>
                <w:sz w:val="22"/>
                <w:szCs w:val="22"/>
                <w:lang w:val="es-ES"/>
              </w:rPr>
              <w:t xml:space="preserve">Identificación de fenotipos de pacientes con apnea del sueño mediante técnicas de </w:t>
            </w:r>
            <w:proofErr w:type="spellStart"/>
            <w:r w:rsidRPr="004B2E23">
              <w:rPr>
                <w:sz w:val="22"/>
                <w:szCs w:val="22"/>
                <w:lang w:val="es-ES"/>
              </w:rPr>
              <w:t>clustering</w:t>
            </w:r>
            <w:proofErr w:type="spellEnd"/>
            <w:r w:rsidRPr="004B2E23">
              <w:rPr>
                <w:sz w:val="22"/>
                <w:szCs w:val="22"/>
                <w:lang w:val="es-ES"/>
              </w:rPr>
              <w:t xml:space="preserve"> y relación con la adherencia al tratamiento con CPAP</w:t>
            </w:r>
          </w:p>
        </w:tc>
      </w:tr>
      <w:tr w:rsidR="00191454" w:rsidRPr="00C3444E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CFFE0F5" w14:textId="7F661AF3" w:rsidR="00C3444E" w:rsidRDefault="00C3444E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  <w:r w:rsidRPr="00C3444E">
              <w:rPr>
                <w:sz w:val="22"/>
                <w:szCs w:val="22"/>
                <w:vertAlign w:val="superscript"/>
                <w:lang w:val="es-ES"/>
              </w:rPr>
              <w:t>1</w:t>
            </w:r>
          </w:p>
          <w:p w14:paraId="54900222" w14:textId="30D695F7" w:rsidR="00532743" w:rsidRPr="00532743" w:rsidRDefault="0089026B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Máximo Domínguez Guerrero</w:t>
            </w:r>
            <w:r w:rsidR="00C3444E" w:rsidRPr="00C3444E">
              <w:rPr>
                <w:sz w:val="22"/>
                <w:szCs w:val="22"/>
                <w:vertAlign w:val="superscript"/>
                <w:lang w:val="es-ES"/>
              </w:rPr>
              <w:t>1</w:t>
            </w:r>
          </w:p>
        </w:tc>
      </w:tr>
      <w:tr w:rsidR="00191454" w:rsidRPr="00C3444E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2D038842" w14:textId="452D0B89" w:rsidR="00532743" w:rsidRPr="0089026B" w:rsidRDefault="00C3444E" w:rsidP="00C3444E">
            <w:pPr>
              <w:rPr>
                <w:sz w:val="22"/>
                <w:szCs w:val="22"/>
                <w:lang w:val="es-ES"/>
              </w:rPr>
            </w:pPr>
            <w:r w:rsidRPr="00C3444E">
              <w:rPr>
                <w:sz w:val="22"/>
                <w:szCs w:val="22"/>
                <w:vertAlign w:val="superscript"/>
                <w:lang w:val="es-ES"/>
              </w:rPr>
              <w:t>1</w:t>
            </w:r>
            <w:r w:rsidR="0089026B" w:rsidRPr="0089026B">
              <w:rPr>
                <w:sz w:val="22"/>
                <w:szCs w:val="22"/>
                <w:lang w:val="es-ES"/>
              </w:rPr>
              <w:t xml:space="preserve"> Teoría de la Señal y Comunicaciones e Ingeniería Telemática</w:t>
            </w:r>
          </w:p>
        </w:tc>
      </w:tr>
      <w:tr w:rsidR="00191454" w:rsidRPr="00C3444E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462B184" w14:textId="222593FE" w:rsidR="00191454" w:rsidRPr="00532743" w:rsidRDefault="004D2FE5" w:rsidP="004B2E23">
            <w:pPr>
              <w:jc w:val="both"/>
              <w:rPr>
                <w:sz w:val="22"/>
                <w:szCs w:val="22"/>
                <w:lang w:val="es-ES"/>
              </w:rPr>
            </w:pPr>
            <w:r w:rsidRPr="004D2FE5">
              <w:rPr>
                <w:sz w:val="22"/>
                <w:szCs w:val="22"/>
                <w:lang w:val="es-ES"/>
              </w:rPr>
              <w:t>La apnea</w:t>
            </w:r>
            <w:r w:rsidR="0022176B">
              <w:rPr>
                <w:sz w:val="22"/>
                <w:szCs w:val="22"/>
                <w:lang w:val="es-ES"/>
              </w:rPr>
              <w:t xml:space="preserve"> obstructiva</w:t>
            </w:r>
            <w:r w:rsidRPr="004D2FE5">
              <w:rPr>
                <w:sz w:val="22"/>
                <w:szCs w:val="22"/>
                <w:lang w:val="es-ES"/>
              </w:rPr>
              <w:t xml:space="preserve"> del sueño </w:t>
            </w:r>
            <w:r w:rsidR="0022176B">
              <w:rPr>
                <w:sz w:val="22"/>
                <w:szCs w:val="22"/>
                <w:lang w:val="es-ES"/>
              </w:rPr>
              <w:t xml:space="preserve">(AOS) </w:t>
            </w:r>
            <w:r w:rsidRPr="004D2FE5">
              <w:rPr>
                <w:sz w:val="22"/>
                <w:szCs w:val="22"/>
                <w:lang w:val="es-ES"/>
              </w:rPr>
              <w:t xml:space="preserve">es una enfermedad respiratoria crónica caracterizada por episodios de cese parcial o total del flujo aéreo en las vías respiratorias. </w:t>
            </w:r>
            <w:r w:rsidR="00C3444E">
              <w:rPr>
                <w:sz w:val="22"/>
                <w:szCs w:val="22"/>
                <w:lang w:val="es-ES"/>
              </w:rPr>
              <w:t>La terapia</w:t>
            </w:r>
            <w:r w:rsidRPr="004D2FE5">
              <w:rPr>
                <w:sz w:val="22"/>
                <w:szCs w:val="22"/>
                <w:lang w:val="es-ES"/>
              </w:rPr>
              <w:t xml:space="preserve"> más eficaz es la </w:t>
            </w:r>
            <w:r w:rsidR="007225EB">
              <w:rPr>
                <w:sz w:val="22"/>
                <w:szCs w:val="22"/>
                <w:lang w:val="es-ES"/>
              </w:rPr>
              <w:t>presión positiva continua en la</w:t>
            </w:r>
            <w:r w:rsidRPr="004D2FE5">
              <w:rPr>
                <w:sz w:val="22"/>
                <w:szCs w:val="22"/>
                <w:lang w:val="es-ES"/>
              </w:rPr>
              <w:t xml:space="preserve"> vía </w:t>
            </w:r>
            <w:r w:rsidR="007225EB">
              <w:rPr>
                <w:sz w:val="22"/>
                <w:szCs w:val="22"/>
                <w:lang w:val="es-ES"/>
              </w:rPr>
              <w:t>aérea</w:t>
            </w:r>
            <w:r w:rsidRPr="004D2FE5">
              <w:rPr>
                <w:sz w:val="22"/>
                <w:szCs w:val="22"/>
                <w:lang w:val="es-ES"/>
              </w:rPr>
              <w:t xml:space="preserve"> (CPAP</w:t>
            </w:r>
            <w:r>
              <w:rPr>
                <w:sz w:val="22"/>
                <w:szCs w:val="22"/>
                <w:lang w:val="es-ES"/>
              </w:rPr>
              <w:t>)</w:t>
            </w:r>
            <w:r w:rsidRPr="004D2FE5">
              <w:rPr>
                <w:sz w:val="22"/>
                <w:szCs w:val="22"/>
                <w:lang w:val="es-ES"/>
              </w:rPr>
              <w:t>, aunque sus efectos dependen directamente de la adherencia</w:t>
            </w:r>
            <w:r w:rsidR="00C3444E">
              <w:rPr>
                <w:sz w:val="22"/>
                <w:szCs w:val="22"/>
                <w:lang w:val="es-ES"/>
              </w:rPr>
              <w:t xml:space="preserve"> al tratamiento</w:t>
            </w:r>
            <w:r>
              <w:rPr>
                <w:sz w:val="22"/>
                <w:szCs w:val="22"/>
                <w:lang w:val="es-ES"/>
              </w:rPr>
              <w:t>.</w:t>
            </w:r>
            <w:r w:rsidR="00C3444E">
              <w:rPr>
                <w:sz w:val="22"/>
                <w:szCs w:val="22"/>
                <w:lang w:val="es-ES"/>
              </w:rPr>
              <w:t xml:space="preserve"> </w:t>
            </w:r>
            <w:r w:rsidR="007225EB">
              <w:rPr>
                <w:sz w:val="22"/>
                <w:szCs w:val="22"/>
                <w:lang w:val="es-ES"/>
              </w:rPr>
              <w:t xml:space="preserve">En los últimos años se han identificado diversos factores que influyen en el grado de cumplimiento de la terapia, aunque existe mucha variabilidad y se necesita investigación adicional. </w:t>
            </w:r>
            <w:r w:rsidR="00130801" w:rsidRPr="007B3000">
              <w:rPr>
                <w:sz w:val="22"/>
                <w:szCs w:val="22"/>
                <w:lang w:val="es-ES"/>
              </w:rPr>
              <w:t xml:space="preserve">Las técnicas de </w:t>
            </w:r>
            <w:proofErr w:type="spellStart"/>
            <w:r w:rsidR="00130801" w:rsidRPr="007B3000">
              <w:rPr>
                <w:sz w:val="22"/>
                <w:szCs w:val="22"/>
                <w:lang w:val="es-ES"/>
              </w:rPr>
              <w:t>clustering</w:t>
            </w:r>
            <w:proofErr w:type="spellEnd"/>
            <w:r w:rsidR="00130801" w:rsidRPr="007B3000">
              <w:rPr>
                <w:sz w:val="22"/>
                <w:szCs w:val="22"/>
                <w:lang w:val="es-ES"/>
              </w:rPr>
              <w:t xml:space="preserve"> son</w:t>
            </w:r>
            <w:r w:rsidR="00130801">
              <w:rPr>
                <w:sz w:val="22"/>
                <w:szCs w:val="22"/>
                <w:lang w:val="es-ES"/>
              </w:rPr>
              <w:t xml:space="preserve"> </w:t>
            </w:r>
            <w:r w:rsidR="00130801" w:rsidRPr="007B3000">
              <w:rPr>
                <w:sz w:val="22"/>
                <w:szCs w:val="22"/>
                <w:lang w:val="es-ES"/>
              </w:rPr>
              <w:t>métodos de aprendizaje no supervisado que agrupan elementos de un conjunto de datos</w:t>
            </w:r>
            <w:r w:rsidR="00C3444E">
              <w:rPr>
                <w:sz w:val="22"/>
                <w:szCs w:val="22"/>
                <w:lang w:val="es-ES"/>
              </w:rPr>
              <w:t xml:space="preserve"> en base a los patrones naturales presentes en los propios datos</w:t>
            </w:r>
            <w:r w:rsidR="00130801">
              <w:rPr>
                <w:sz w:val="22"/>
                <w:szCs w:val="22"/>
                <w:lang w:val="es-ES"/>
              </w:rPr>
              <w:t>, de forma que los elementos de un mismo grupo o clúster compart</w:t>
            </w:r>
            <w:r w:rsidR="00C3444E">
              <w:rPr>
                <w:sz w:val="22"/>
                <w:szCs w:val="22"/>
                <w:lang w:val="es-ES"/>
              </w:rPr>
              <w:t>e</w:t>
            </w:r>
            <w:r w:rsidR="00130801">
              <w:rPr>
                <w:sz w:val="22"/>
                <w:szCs w:val="22"/>
                <w:lang w:val="es-ES"/>
              </w:rPr>
              <w:t>n características similares y se diferencien de los elementos de otros grupos.</w:t>
            </w:r>
            <w:r w:rsidR="00C3444E">
              <w:rPr>
                <w:sz w:val="22"/>
                <w:szCs w:val="22"/>
                <w:lang w:val="es-ES"/>
              </w:rPr>
              <w:t xml:space="preserve"> </w:t>
            </w:r>
            <w:r w:rsidR="007713C7">
              <w:rPr>
                <w:sz w:val="22"/>
                <w:szCs w:val="22"/>
                <w:lang w:val="es-ES"/>
              </w:rPr>
              <w:t>Se dispone de una base de datos con informaci</w:t>
            </w:r>
            <w:r w:rsidR="00C3444E">
              <w:rPr>
                <w:sz w:val="22"/>
                <w:szCs w:val="22"/>
                <w:lang w:val="es-ES"/>
              </w:rPr>
              <w:t>ón demográfica, antropométrica,</w:t>
            </w:r>
            <w:r w:rsidR="007713C7">
              <w:rPr>
                <w:sz w:val="22"/>
                <w:szCs w:val="22"/>
                <w:lang w:val="es-ES"/>
              </w:rPr>
              <w:t xml:space="preserve"> clínica </w:t>
            </w:r>
            <w:r w:rsidR="00C3444E">
              <w:rPr>
                <w:sz w:val="22"/>
                <w:szCs w:val="22"/>
                <w:lang w:val="es-ES"/>
              </w:rPr>
              <w:t>y de uso de CPAP (</w:t>
            </w:r>
            <w:proofErr w:type="spellStart"/>
            <w:r w:rsidR="00C3444E">
              <w:rPr>
                <w:sz w:val="22"/>
                <w:szCs w:val="22"/>
                <w:lang w:val="es-ES"/>
              </w:rPr>
              <w:t>telemonitorización</w:t>
            </w:r>
            <w:proofErr w:type="spellEnd"/>
            <w:r w:rsidR="00C3444E">
              <w:rPr>
                <w:sz w:val="22"/>
                <w:szCs w:val="22"/>
                <w:lang w:val="es-ES"/>
              </w:rPr>
              <w:t xml:space="preserve">) </w:t>
            </w:r>
            <w:r w:rsidR="007713C7">
              <w:rPr>
                <w:sz w:val="22"/>
                <w:szCs w:val="22"/>
                <w:lang w:val="es-ES"/>
              </w:rPr>
              <w:t xml:space="preserve">de pacientes con AOS. </w:t>
            </w:r>
            <w:r w:rsidR="00C3444E">
              <w:rPr>
                <w:sz w:val="22"/>
                <w:szCs w:val="22"/>
                <w:lang w:val="es-ES"/>
              </w:rPr>
              <w:t>Los datos de uso incluyen</w:t>
            </w:r>
            <w:r w:rsidR="007713C7">
              <w:rPr>
                <w:sz w:val="22"/>
                <w:szCs w:val="22"/>
                <w:lang w:val="es-ES"/>
              </w:rPr>
              <w:t xml:space="preserve"> un seguimiento </w:t>
            </w:r>
            <w:r>
              <w:rPr>
                <w:sz w:val="22"/>
                <w:szCs w:val="22"/>
                <w:lang w:val="es-ES"/>
              </w:rPr>
              <w:t>del</w:t>
            </w:r>
            <w:r w:rsidR="007713C7">
              <w:rPr>
                <w:sz w:val="22"/>
                <w:szCs w:val="22"/>
                <w:lang w:val="es-ES"/>
              </w:rPr>
              <w:t xml:space="preserve"> primer año de tratamiento </w:t>
            </w:r>
            <w:r w:rsidR="00C3444E">
              <w:rPr>
                <w:sz w:val="22"/>
                <w:szCs w:val="22"/>
                <w:lang w:val="es-ES"/>
              </w:rPr>
              <w:t xml:space="preserve">que permite </w:t>
            </w:r>
            <w:r>
              <w:rPr>
                <w:sz w:val="22"/>
                <w:szCs w:val="22"/>
                <w:lang w:val="es-ES"/>
              </w:rPr>
              <w:t xml:space="preserve">evaluar el cumplimiento del </w:t>
            </w:r>
            <w:r w:rsidR="00C3444E">
              <w:rPr>
                <w:sz w:val="22"/>
                <w:szCs w:val="22"/>
                <w:lang w:val="es-ES"/>
              </w:rPr>
              <w:t xml:space="preserve">mismo </w:t>
            </w:r>
            <w:r w:rsidR="007E446A">
              <w:rPr>
                <w:sz w:val="22"/>
                <w:szCs w:val="22"/>
                <w:lang w:val="es-ES"/>
              </w:rPr>
              <w:t xml:space="preserve">a </w:t>
            </w:r>
            <w:r w:rsidR="0022176B">
              <w:rPr>
                <w:sz w:val="22"/>
                <w:szCs w:val="22"/>
                <w:lang w:val="es-ES"/>
              </w:rPr>
              <w:t>lo largo de este periodo.</w:t>
            </w:r>
            <w:r w:rsidR="007225EB">
              <w:rPr>
                <w:sz w:val="22"/>
                <w:szCs w:val="22"/>
                <w:lang w:val="es-ES"/>
              </w:rPr>
              <w:t xml:space="preserve"> </w:t>
            </w:r>
            <w:r w:rsidRPr="004D2FE5">
              <w:rPr>
                <w:sz w:val="22"/>
                <w:szCs w:val="22"/>
                <w:lang w:val="es-ES"/>
              </w:rPr>
              <w:t xml:space="preserve">El objetivo de este </w:t>
            </w:r>
            <w:r w:rsidR="00C3444E">
              <w:rPr>
                <w:sz w:val="22"/>
                <w:szCs w:val="22"/>
                <w:lang w:val="es-ES"/>
              </w:rPr>
              <w:t>T</w:t>
            </w:r>
            <w:r w:rsidRPr="004D2FE5">
              <w:rPr>
                <w:sz w:val="22"/>
                <w:szCs w:val="22"/>
                <w:lang w:val="es-ES"/>
              </w:rPr>
              <w:t xml:space="preserve">rabajo </w:t>
            </w:r>
            <w:r w:rsidR="00C3444E">
              <w:rPr>
                <w:sz w:val="22"/>
                <w:szCs w:val="22"/>
                <w:lang w:val="es-ES"/>
              </w:rPr>
              <w:t xml:space="preserve">de Fin de Grado consiste en </w:t>
            </w:r>
            <w:r w:rsidRPr="004D2FE5">
              <w:rPr>
                <w:sz w:val="22"/>
                <w:szCs w:val="22"/>
                <w:lang w:val="es-ES"/>
              </w:rPr>
              <w:t xml:space="preserve">identificar perfiles de pacientes con AOS </w:t>
            </w:r>
            <w:r w:rsidR="00C3444E">
              <w:rPr>
                <w:sz w:val="22"/>
                <w:szCs w:val="22"/>
                <w:lang w:val="es-ES"/>
              </w:rPr>
              <w:t xml:space="preserve">utilizando diferentes técnicas de </w:t>
            </w:r>
            <w:proofErr w:type="spellStart"/>
            <w:r w:rsidR="00C3444E">
              <w:rPr>
                <w:sz w:val="22"/>
                <w:szCs w:val="22"/>
                <w:lang w:val="es-ES"/>
              </w:rPr>
              <w:t>clustering</w:t>
            </w:r>
            <w:proofErr w:type="spellEnd"/>
            <w:r w:rsidR="00C3444E">
              <w:rPr>
                <w:sz w:val="22"/>
                <w:szCs w:val="22"/>
                <w:lang w:val="es-ES"/>
              </w:rPr>
              <w:t>, para</w:t>
            </w:r>
            <w:r w:rsidRPr="004D2FE5">
              <w:rPr>
                <w:sz w:val="22"/>
                <w:szCs w:val="22"/>
                <w:lang w:val="es-ES"/>
              </w:rPr>
              <w:t xml:space="preserve"> analizar su relación con la adherencia al tratamiento </w:t>
            </w:r>
            <w:r w:rsidR="007225EB">
              <w:rPr>
                <w:sz w:val="22"/>
                <w:szCs w:val="22"/>
                <w:lang w:val="es-ES"/>
              </w:rPr>
              <w:t xml:space="preserve">durante </w:t>
            </w:r>
            <w:r w:rsidRPr="004D2FE5">
              <w:rPr>
                <w:sz w:val="22"/>
                <w:szCs w:val="22"/>
                <w:lang w:val="es-ES"/>
              </w:rPr>
              <w:t>el primer año de seguimiento.</w:t>
            </w:r>
          </w:p>
        </w:tc>
      </w:tr>
      <w:tr w:rsidR="00191454" w:rsidRPr="00C3444E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015E9E1E" w:rsidR="004F5A97" w:rsidRPr="00532743" w:rsidRDefault="0089026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Apnea obstructiva del sueño, </w:t>
            </w:r>
            <w:r w:rsidR="007225EB">
              <w:rPr>
                <w:sz w:val="22"/>
                <w:szCs w:val="22"/>
                <w:lang w:val="es-ES"/>
              </w:rPr>
              <w:t xml:space="preserve">presión positiva continua en la vía aérea, </w:t>
            </w:r>
            <w:r>
              <w:rPr>
                <w:sz w:val="22"/>
                <w:szCs w:val="22"/>
                <w:lang w:val="es-ES"/>
              </w:rPr>
              <w:t>adherencia al tratamiento, aprendizaje no supervisado</w:t>
            </w:r>
            <w:r w:rsidR="007225EB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="007225EB">
              <w:rPr>
                <w:sz w:val="22"/>
                <w:szCs w:val="22"/>
                <w:lang w:val="es-ES"/>
              </w:rPr>
              <w:t>clustering</w:t>
            </w:r>
            <w:proofErr w:type="spellEnd"/>
            <w:r w:rsidR="00C3444E">
              <w:rPr>
                <w:sz w:val="22"/>
                <w:szCs w:val="22"/>
                <w:lang w:val="es-ES"/>
              </w:rPr>
              <w:t>.</w:t>
            </w:r>
          </w:p>
        </w:tc>
      </w:tr>
      <w:tr w:rsidR="00191454" w:rsidRPr="00C3444E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6E41B3A" w14:textId="5EA73A92" w:rsidR="00C3444E" w:rsidRDefault="00C3444E" w:rsidP="004B2E23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CB3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Que los estudiantes tengan la capacidad de reunir e interpretar datos relevantes (normalmente dentro de su área de estudio) para emitir juicios que incluyan una reflexión sobre temas relevantes de índole social, científica o ética.</w:t>
            </w:r>
          </w:p>
          <w:p w14:paraId="67F54A2C" w14:textId="77777777" w:rsidR="00C3444E" w:rsidRDefault="00C3444E" w:rsidP="004B2E23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CG1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Adquirir conocimientos y habilidades adecuados para analizar y sintetizar problemas básicos relacionados con la ingeniería y las ciencias biomédicas, resolverlos utilizando el método científico y comunicarlos de forma eficiente.</w:t>
            </w:r>
          </w:p>
          <w:p w14:paraId="482B6C7A" w14:textId="77777777" w:rsidR="00C3444E" w:rsidRDefault="00C3444E" w:rsidP="004B2E23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CT2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Capacidad de organizar y planificar su trabajo tomando las decisiones correctas basadas en la información di</w:t>
            </w:r>
            <w:bookmarkStart w:id="0" w:name="_GoBack"/>
            <w:bookmarkEnd w:id="0"/>
            <w:r w:rsidRPr="0074616C">
              <w:rPr>
                <w:sz w:val="22"/>
                <w:szCs w:val="22"/>
                <w:lang w:val="es-ES"/>
              </w:rPr>
              <w:t>sponible, reuniendo e interpretando datos relevantes para emitir juicios dentro de su área de estudio.</w:t>
            </w:r>
          </w:p>
          <w:p w14:paraId="32567B2F" w14:textId="44ED4CC7" w:rsidR="00191454" w:rsidRPr="00532743" w:rsidRDefault="00C3444E" w:rsidP="004B2E23">
            <w:pPr>
              <w:jc w:val="both"/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(</w:t>
            </w:r>
            <w:r w:rsidRPr="0074616C">
              <w:rPr>
                <w:sz w:val="22"/>
                <w:szCs w:val="22"/>
                <w:lang w:val="es-ES"/>
              </w:rPr>
              <w:t>CE28</w:t>
            </w:r>
            <w:r>
              <w:rPr>
                <w:sz w:val="22"/>
                <w:szCs w:val="22"/>
                <w:lang w:val="es-ES"/>
              </w:rPr>
              <w:t>)</w:t>
            </w:r>
            <w:r w:rsidRPr="0074616C">
              <w:rPr>
                <w:sz w:val="22"/>
                <w:szCs w:val="22"/>
                <w:lang w:val="es-ES"/>
              </w:rPr>
              <w:t xml:space="preserve"> Desarrollar habilidades para integrarse en equipos de trabajo con profesionales de la medicina y la biología para el desarrollo de investigaciones, productos y servicios en biomedicina.</w:t>
            </w:r>
          </w:p>
        </w:tc>
      </w:tr>
      <w:tr w:rsidR="00191454" w:rsidRPr="00C3444E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265F964C" w:rsidR="00532743" w:rsidRPr="00394C26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394C26">
              <w:rPr>
                <w:b/>
                <w:bCs/>
                <w:sz w:val="22"/>
                <w:szCs w:val="22"/>
                <w:lang w:val="es-ES"/>
              </w:rPr>
              <w:t>…………</w:t>
            </w:r>
            <w:proofErr w:type="gramStart"/>
            <w:r w:rsidR="00532743" w:rsidRPr="00394C26">
              <w:rPr>
                <w:rFonts w:ascii="Wingdings" w:hAnsi="Wingdings" w:cs="Wingdings"/>
                <w:b/>
                <w:bCs/>
                <w:color w:val="000000" w:themeColor="text1"/>
              </w:rPr>
              <w:t>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</w:p>
          <w:p w14:paraId="2A5E247C" w14:textId="741A9E3E" w:rsidR="004F5A97" w:rsidRPr="00532743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</w:t>
            </w:r>
            <w:proofErr w:type="spellStart"/>
            <w:r>
              <w:rPr>
                <w:sz w:val="22"/>
                <w:szCs w:val="22"/>
                <w:lang w:val="es-ES"/>
              </w:rPr>
              <w:t>preasignado</w:t>
            </w:r>
            <w:proofErr w:type="spellEnd"/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  <w:r w:rsidR="007225EB">
              <w:rPr>
                <w:sz w:val="22"/>
                <w:szCs w:val="22"/>
                <w:lang w:val="es-ES"/>
              </w:rPr>
              <w:t xml:space="preserve"> </w:t>
            </w:r>
            <w:r w:rsidR="007225EB" w:rsidRPr="007225EB">
              <w:rPr>
                <w:b/>
                <w:sz w:val="22"/>
                <w:szCs w:val="22"/>
                <w:lang w:val="es-ES"/>
              </w:rPr>
              <w:t xml:space="preserve">Beatriz González </w:t>
            </w:r>
            <w:proofErr w:type="spellStart"/>
            <w:r w:rsidR="007225EB" w:rsidRPr="007225EB">
              <w:rPr>
                <w:b/>
                <w:sz w:val="22"/>
                <w:szCs w:val="22"/>
                <w:lang w:val="es-ES"/>
              </w:rPr>
              <w:t>González</w:t>
            </w:r>
            <w:proofErr w:type="spellEnd"/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C3444E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14:paraId="65F915EF" w14:textId="77777777" w:rsidTr="007225EB">
        <w:trPr>
          <w:trHeight w:val="444"/>
        </w:trPr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3D5BA1D3" w:rsidR="004F5A97" w:rsidRPr="00532743" w:rsidRDefault="007225E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191454" w14:paraId="1A5DFC4D" w14:textId="77777777" w:rsidTr="007225EB">
        <w:trPr>
          <w:trHeight w:val="422"/>
        </w:trPr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188B289C" w:rsidR="004F5A97" w:rsidRPr="00532743" w:rsidRDefault="007225E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</w:p>
        </w:tc>
      </w:tr>
      <w:tr w:rsidR="00191454" w:rsidRPr="007225EB" w14:paraId="290C9998" w14:textId="77777777" w:rsidTr="007225EB">
        <w:trPr>
          <w:trHeight w:val="415"/>
        </w:trPr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2AFB5EBE" w:rsidR="004F5A97" w:rsidRPr="00532743" w:rsidRDefault="007225E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Gonzalo C. Gutiérrez </w:t>
            </w:r>
            <w:proofErr w:type="spellStart"/>
            <w:r>
              <w:rPr>
                <w:sz w:val="22"/>
                <w:szCs w:val="22"/>
                <w:lang w:val="es-ES"/>
              </w:rPr>
              <w:t>Tobal</w:t>
            </w:r>
            <w:proofErr w:type="spellEnd"/>
          </w:p>
        </w:tc>
      </w:tr>
      <w:tr w:rsidR="00191454" w:rsidRPr="007225EB" w14:paraId="2A2E43DE" w14:textId="77777777" w:rsidTr="007225EB">
        <w:trPr>
          <w:trHeight w:val="407"/>
        </w:trPr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66A4DB2C" w:rsidR="004F5A97" w:rsidRPr="00532743" w:rsidRDefault="007225E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Jesús Poza Crespo</w:t>
            </w:r>
          </w:p>
        </w:tc>
      </w:tr>
      <w:tr w:rsidR="00191454" w:rsidRPr="007225EB" w14:paraId="558C1512" w14:textId="77777777" w:rsidTr="007225EB">
        <w:trPr>
          <w:trHeight w:val="412"/>
        </w:trPr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4F5A97" w:rsidRPr="004F5A97" w:rsidRDefault="00394C26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="004F5A97"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2E0D05A1" w:rsidR="00394C26" w:rsidRPr="00532743" w:rsidRDefault="007225EB" w:rsidP="00D44E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A21A" w14:textId="77777777" w:rsidR="00D95E39" w:rsidRDefault="00D95E39" w:rsidP="001A5F33">
      <w:r>
        <w:separator/>
      </w:r>
    </w:p>
  </w:endnote>
  <w:endnote w:type="continuationSeparator" w:id="0">
    <w:p w14:paraId="285D7E91" w14:textId="77777777" w:rsidR="00D95E39" w:rsidRDefault="00D95E39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E6202" w14:textId="77777777" w:rsidR="00D95E39" w:rsidRDefault="00D95E39" w:rsidP="001A5F33">
      <w:r>
        <w:separator/>
      </w:r>
    </w:p>
  </w:footnote>
  <w:footnote w:type="continuationSeparator" w:id="0">
    <w:p w14:paraId="6FF8A7AC" w14:textId="77777777" w:rsidR="00D95E39" w:rsidRDefault="00D95E39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val="es-ES" w:eastAsia="es-ES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0801"/>
    <w:rsid w:val="001322D4"/>
    <w:rsid w:val="00144349"/>
    <w:rsid w:val="0017543C"/>
    <w:rsid w:val="00191454"/>
    <w:rsid w:val="001A5F33"/>
    <w:rsid w:val="001E52AB"/>
    <w:rsid w:val="002075AB"/>
    <w:rsid w:val="00212A9A"/>
    <w:rsid w:val="0022176B"/>
    <w:rsid w:val="002555E5"/>
    <w:rsid w:val="0027449F"/>
    <w:rsid w:val="00306D6E"/>
    <w:rsid w:val="003167BA"/>
    <w:rsid w:val="00394C26"/>
    <w:rsid w:val="003A2734"/>
    <w:rsid w:val="003B3ADF"/>
    <w:rsid w:val="00400C29"/>
    <w:rsid w:val="004B2E23"/>
    <w:rsid w:val="004D2FE5"/>
    <w:rsid w:val="004F5A97"/>
    <w:rsid w:val="00512C3F"/>
    <w:rsid w:val="00532743"/>
    <w:rsid w:val="005428E9"/>
    <w:rsid w:val="005549A2"/>
    <w:rsid w:val="005B420F"/>
    <w:rsid w:val="00622B54"/>
    <w:rsid w:val="0063749D"/>
    <w:rsid w:val="00671857"/>
    <w:rsid w:val="00672F3F"/>
    <w:rsid w:val="007225EB"/>
    <w:rsid w:val="0073575C"/>
    <w:rsid w:val="00746A7B"/>
    <w:rsid w:val="007713C7"/>
    <w:rsid w:val="00790395"/>
    <w:rsid w:val="007B012B"/>
    <w:rsid w:val="007B03D3"/>
    <w:rsid w:val="007B3000"/>
    <w:rsid w:val="007D7D0E"/>
    <w:rsid w:val="007E446A"/>
    <w:rsid w:val="007F5224"/>
    <w:rsid w:val="0080541A"/>
    <w:rsid w:val="00863BDA"/>
    <w:rsid w:val="0089026B"/>
    <w:rsid w:val="008D2EBF"/>
    <w:rsid w:val="008F4FEB"/>
    <w:rsid w:val="009066A5"/>
    <w:rsid w:val="00907F6B"/>
    <w:rsid w:val="009571E0"/>
    <w:rsid w:val="00987153"/>
    <w:rsid w:val="00A20D63"/>
    <w:rsid w:val="00AF68B9"/>
    <w:rsid w:val="00B47BED"/>
    <w:rsid w:val="00BA0607"/>
    <w:rsid w:val="00BC326D"/>
    <w:rsid w:val="00C3444E"/>
    <w:rsid w:val="00C4564E"/>
    <w:rsid w:val="00C5264D"/>
    <w:rsid w:val="00C66BF8"/>
    <w:rsid w:val="00C92E7A"/>
    <w:rsid w:val="00CA17D5"/>
    <w:rsid w:val="00CA2791"/>
    <w:rsid w:val="00D13E36"/>
    <w:rsid w:val="00D16731"/>
    <w:rsid w:val="00D52CE1"/>
    <w:rsid w:val="00D707D2"/>
    <w:rsid w:val="00D95E39"/>
    <w:rsid w:val="00DF69E5"/>
    <w:rsid w:val="00ED5912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8CA38-B38D-4730-A1B0-803360DE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Daniel</cp:lastModifiedBy>
  <cp:revision>2</cp:revision>
  <cp:lastPrinted>2022-06-16T18:10:00Z</cp:lastPrinted>
  <dcterms:created xsi:type="dcterms:W3CDTF">2025-09-18T15:00:00Z</dcterms:created>
  <dcterms:modified xsi:type="dcterms:W3CDTF">2025-09-18T15:00:00Z</dcterms:modified>
</cp:coreProperties>
</file>