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0EB1" w14:textId="66F7D533" w:rsidR="001A5F33" w:rsidRPr="00322286" w:rsidRDefault="00C5264D" w:rsidP="00322286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07"/>
        <w:gridCol w:w="222"/>
      </w:tblGrid>
      <w:tr w:rsidR="00191454" w:rsidRPr="00F013F6" w14:paraId="1713DEC4" w14:textId="77777777" w:rsidTr="006045D5">
        <w:tc>
          <w:tcPr>
            <w:tcW w:w="0" w:type="auto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013F6" w14:paraId="3E74CEF6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283A4D1" w14:textId="1F86A674" w:rsidR="00532743" w:rsidRPr="00861A68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8D0637" w:rsidRPr="00861A68">
              <w:rPr>
                <w:sz w:val="22"/>
                <w:szCs w:val="22"/>
                <w:lang w:val="es-ES"/>
              </w:rPr>
              <w:t xml:space="preserve"> </w:t>
            </w:r>
            <w:r w:rsidR="000330DA">
              <w:rPr>
                <w:sz w:val="22"/>
                <w:szCs w:val="22"/>
                <w:lang w:val="es-ES"/>
              </w:rPr>
              <w:t xml:space="preserve">Técnicas de </w:t>
            </w:r>
            <w:proofErr w:type="spellStart"/>
            <w:r w:rsidR="00FD2930" w:rsidRPr="00FD2930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FD2930" w:rsidRPr="00FD2930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FD2930" w:rsidRPr="00FD2930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0330DA">
              <w:rPr>
                <w:sz w:val="22"/>
                <w:szCs w:val="22"/>
                <w:lang w:val="es-ES"/>
              </w:rPr>
              <w:t xml:space="preserve"> aplicadas a señales </w:t>
            </w:r>
            <w:proofErr w:type="spellStart"/>
            <w:r w:rsidR="000330DA">
              <w:rPr>
                <w:sz w:val="22"/>
                <w:szCs w:val="22"/>
                <w:lang w:val="es-ES"/>
              </w:rPr>
              <w:t>polisomnográficas</w:t>
            </w:r>
            <w:proofErr w:type="spellEnd"/>
            <w:r w:rsidR="000330DA">
              <w:rPr>
                <w:sz w:val="22"/>
                <w:szCs w:val="22"/>
                <w:lang w:val="es-ES"/>
              </w:rPr>
              <w:t xml:space="preserve"> para predecir somnolencia diurna en pacientes con sospecha de apnea del sueño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D9D836" w14:textId="77777777" w:rsid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33AEB1BD" w14:textId="77777777" w:rsidTr="008656A0">
        <w:trPr>
          <w:trHeight w:hRule="exact" w:val="397"/>
        </w:trPr>
        <w:tc>
          <w:tcPr>
            <w:tcW w:w="0" w:type="auto"/>
            <w:tcBorders>
              <w:right w:val="nil"/>
            </w:tcBorders>
            <w:vAlign w:val="center"/>
          </w:tcPr>
          <w:p w14:paraId="2234899D" w14:textId="36429E6B" w:rsidR="00532743" w:rsidRPr="00861A68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863B1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4E76EA">
              <w:rPr>
                <w:sz w:val="22"/>
                <w:szCs w:val="22"/>
                <w:lang w:val="es-ES"/>
              </w:rPr>
              <w:t>Daniel Álvarez González y Fernando Vaquerizo Villar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7B8F0F8F" w14:textId="77777777" w:rsidTr="008656A0">
        <w:trPr>
          <w:trHeight w:hRule="exact" w:val="454"/>
        </w:trPr>
        <w:tc>
          <w:tcPr>
            <w:tcW w:w="0" w:type="auto"/>
            <w:tcBorders>
              <w:right w:val="nil"/>
            </w:tcBorders>
            <w:vAlign w:val="center"/>
          </w:tcPr>
          <w:p w14:paraId="4FE55BE7" w14:textId="1BFF94C9" w:rsidR="00532743" w:rsidRPr="00861A68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13BAE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04FA" w:rsidRPr="00861A68">
              <w:rPr>
                <w:sz w:val="22"/>
                <w:szCs w:val="22"/>
                <w:lang w:val="es-ES"/>
              </w:rPr>
              <w:t>Departamento de Teoría de la Señal y Comunicaciones e Ingeniería Telemática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39411455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A54DB02" w14:textId="5B932328" w:rsidR="00532743" w:rsidRPr="00861A68" w:rsidRDefault="00532743" w:rsidP="005F3D42">
            <w:pPr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>Resumen (máx. 150 palabras):</w:t>
            </w:r>
            <w:r w:rsidR="006045D5" w:rsidRPr="00861A68">
              <w:rPr>
                <w:sz w:val="22"/>
                <w:szCs w:val="22"/>
                <w:lang w:val="es-ES"/>
              </w:rPr>
              <w:t xml:space="preserve"> </w:t>
            </w:r>
            <w:r w:rsidR="0059226B" w:rsidRPr="005F3D42">
              <w:rPr>
                <w:sz w:val="22"/>
                <w:szCs w:val="22"/>
                <w:lang w:val="es-ES"/>
              </w:rPr>
              <w:t>La somnolencia diurna, uno de los síntomas principales de la apnea obstructiva del sueño (AOS), deteriora notablemente la calidad de vida y se asocia a depresión y deterioro cognitivo.</w:t>
            </w:r>
            <w:r w:rsidR="00CD69E0" w:rsidRPr="005F3D42">
              <w:rPr>
                <w:sz w:val="22"/>
                <w:szCs w:val="22"/>
                <w:lang w:val="es-ES"/>
              </w:rPr>
              <w:t xml:space="preserve"> </w:t>
            </w:r>
            <w:r w:rsidR="005F3D42">
              <w:rPr>
                <w:sz w:val="22"/>
                <w:szCs w:val="22"/>
                <w:lang w:val="es-ES"/>
              </w:rPr>
              <w:t>El</w:t>
            </w:r>
            <w:r w:rsidR="00CD69E0" w:rsidRPr="005F3D42">
              <w:rPr>
                <w:sz w:val="22"/>
                <w:szCs w:val="22"/>
                <w:lang w:val="es-ES"/>
              </w:rPr>
              <w:t xml:space="preserve"> diagnóstico estándar de la AOS</w:t>
            </w:r>
            <w:r w:rsidR="005F3D42">
              <w:rPr>
                <w:sz w:val="22"/>
                <w:szCs w:val="22"/>
                <w:lang w:val="es-ES"/>
              </w:rPr>
              <w:t xml:space="preserve">, </w:t>
            </w:r>
            <w:r w:rsidR="00CD69E0" w:rsidRPr="005F3D42">
              <w:rPr>
                <w:sz w:val="22"/>
                <w:szCs w:val="22"/>
                <w:lang w:val="es-ES"/>
              </w:rPr>
              <w:t>la polisomnografía nocturna</w:t>
            </w:r>
            <w:r w:rsidR="005F3D42">
              <w:rPr>
                <w:sz w:val="22"/>
                <w:szCs w:val="22"/>
                <w:lang w:val="es-ES"/>
              </w:rPr>
              <w:t xml:space="preserve"> (PSG)</w:t>
            </w:r>
            <w:r w:rsidR="00CD69E0" w:rsidRPr="005F3D42">
              <w:rPr>
                <w:sz w:val="22"/>
                <w:szCs w:val="22"/>
                <w:lang w:val="es-ES"/>
              </w:rPr>
              <w:t xml:space="preserve">, </w:t>
            </w:r>
            <w:r w:rsidR="00CD69E0" w:rsidRPr="001B4F19">
              <w:rPr>
                <w:sz w:val="22"/>
                <w:szCs w:val="22"/>
                <w:lang w:val="es-ES"/>
              </w:rPr>
              <w:t xml:space="preserve">requiere una noche en una unidad del sueño y el </w:t>
            </w:r>
            <w:r w:rsidR="005F3D42">
              <w:rPr>
                <w:sz w:val="22"/>
                <w:szCs w:val="22"/>
                <w:lang w:val="es-ES"/>
              </w:rPr>
              <w:t>análisis</w:t>
            </w:r>
            <w:r w:rsidR="00CD69E0" w:rsidRPr="001B4F19">
              <w:rPr>
                <w:sz w:val="22"/>
                <w:szCs w:val="22"/>
                <w:lang w:val="es-ES"/>
              </w:rPr>
              <w:t xml:space="preserve"> de </w:t>
            </w:r>
            <w:r w:rsidR="005F3D42">
              <w:rPr>
                <w:sz w:val="22"/>
                <w:szCs w:val="22"/>
                <w:lang w:val="es-ES"/>
              </w:rPr>
              <w:t>múltiples</w:t>
            </w:r>
            <w:r w:rsidR="00CD69E0" w:rsidRPr="001B4F19">
              <w:rPr>
                <w:sz w:val="22"/>
                <w:szCs w:val="22"/>
                <w:lang w:val="es-ES"/>
              </w:rPr>
              <w:t xml:space="preserve"> señales biomédicas, </w:t>
            </w:r>
            <w:r w:rsidR="005F3D42">
              <w:rPr>
                <w:sz w:val="22"/>
                <w:szCs w:val="22"/>
                <w:lang w:val="es-ES"/>
              </w:rPr>
              <w:t>resulta</w:t>
            </w:r>
            <w:r w:rsidR="00B72FFD">
              <w:rPr>
                <w:sz w:val="22"/>
                <w:szCs w:val="22"/>
                <w:lang w:val="es-ES"/>
              </w:rPr>
              <w:t>n</w:t>
            </w:r>
            <w:r w:rsidR="005F3D42">
              <w:rPr>
                <w:sz w:val="22"/>
                <w:szCs w:val="22"/>
                <w:lang w:val="es-ES"/>
              </w:rPr>
              <w:t>do</w:t>
            </w:r>
            <w:r w:rsidR="00CD69E0" w:rsidRPr="001B4F19">
              <w:rPr>
                <w:sz w:val="22"/>
                <w:szCs w:val="22"/>
                <w:lang w:val="es-ES"/>
              </w:rPr>
              <w:t xml:space="preserve"> en una prueba compleja y costosa</w:t>
            </w:r>
            <w:r w:rsidR="00CD69E0" w:rsidRPr="005F3D42">
              <w:rPr>
                <w:sz w:val="22"/>
                <w:szCs w:val="22"/>
                <w:lang w:val="es-ES"/>
              </w:rPr>
              <w:t>.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 </w:t>
            </w:r>
            <w:r w:rsidR="00CD69E0" w:rsidRPr="005F3D42">
              <w:rPr>
                <w:sz w:val="22"/>
                <w:szCs w:val="22"/>
                <w:lang w:val="es-ES"/>
              </w:rPr>
              <w:t xml:space="preserve">Además, </w:t>
            </w:r>
            <w:r w:rsidR="00FD2930" w:rsidRPr="005F3D42">
              <w:rPr>
                <w:sz w:val="22"/>
                <w:szCs w:val="22"/>
                <w:lang w:val="es-ES"/>
              </w:rPr>
              <w:t xml:space="preserve">el índice de apnea-hipopnea </w:t>
            </w:r>
            <w:r w:rsidR="00CD69E0" w:rsidRPr="005F3D42">
              <w:rPr>
                <w:sz w:val="22"/>
                <w:szCs w:val="22"/>
                <w:lang w:val="es-ES"/>
              </w:rPr>
              <w:t>derivado de la PSG</w:t>
            </w:r>
            <w:r w:rsidR="00B92550">
              <w:rPr>
                <w:sz w:val="22"/>
                <w:szCs w:val="22"/>
                <w:lang w:val="es-ES"/>
              </w:rPr>
              <w:t>,</w:t>
            </w:r>
            <w:r w:rsidR="005F3D42">
              <w:rPr>
                <w:sz w:val="22"/>
                <w:szCs w:val="22"/>
                <w:lang w:val="es-ES"/>
              </w:rPr>
              <w:t xml:space="preserve"> que cuantifica </w:t>
            </w:r>
            <w:r w:rsidR="005F3D42" w:rsidRPr="005F3D42">
              <w:rPr>
                <w:sz w:val="22"/>
                <w:szCs w:val="22"/>
                <w:lang w:val="es-ES"/>
              </w:rPr>
              <w:t>la severidad de la AOS</w:t>
            </w:r>
            <w:r w:rsidR="00B92550">
              <w:rPr>
                <w:sz w:val="22"/>
                <w:szCs w:val="22"/>
                <w:lang w:val="es-ES"/>
              </w:rPr>
              <w:t>,</w:t>
            </w:r>
            <w:r w:rsidR="00FD2930" w:rsidRPr="005F3D42">
              <w:rPr>
                <w:sz w:val="22"/>
                <w:szCs w:val="22"/>
                <w:lang w:val="es-ES"/>
              </w:rPr>
              <w:t xml:space="preserve"> se relaciona de manera inconsistente con la somnolencia diurna.</w:t>
            </w:r>
            <w:r w:rsidR="005F3D42" w:rsidRPr="005F3D42">
              <w:rPr>
                <w:sz w:val="22"/>
                <w:szCs w:val="22"/>
                <w:lang w:val="es-ES"/>
              </w:rPr>
              <w:t xml:space="preserve"> </w:t>
            </w:r>
            <w:r w:rsidR="00823C40" w:rsidRPr="005F3D42">
              <w:rPr>
                <w:sz w:val="22"/>
                <w:szCs w:val="22"/>
                <w:lang w:val="es-ES"/>
              </w:rPr>
              <w:t xml:space="preserve">Por ello, 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el objetivo de este trabajo </w:t>
            </w:r>
            <w:r w:rsidR="00CD69E0" w:rsidRPr="005F3D42">
              <w:rPr>
                <w:sz w:val="22"/>
                <w:szCs w:val="22"/>
                <w:lang w:val="es-ES"/>
              </w:rPr>
              <w:t xml:space="preserve">de 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fin de grado consistirá en diseñar, desarrollar y evaluar técnicas de </w:t>
            </w:r>
            <w:proofErr w:type="spellStart"/>
            <w:r w:rsidR="0059226B" w:rsidRPr="005F3D42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59226B" w:rsidRPr="005F3D42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59226B" w:rsidRPr="005F3D42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59226B" w:rsidRPr="005F3D42">
              <w:rPr>
                <w:sz w:val="22"/>
                <w:szCs w:val="22"/>
                <w:lang w:val="es-ES"/>
              </w:rPr>
              <w:t xml:space="preserve"> para la predicción de somnolencia diurna excesiva </w:t>
            </w:r>
            <w:r w:rsidR="001B4F19" w:rsidRPr="005F3D42">
              <w:rPr>
                <w:sz w:val="22"/>
                <w:szCs w:val="22"/>
                <w:lang w:val="es-ES"/>
              </w:rPr>
              <w:t xml:space="preserve">en pacientes con sospecha de AOS 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a partir de </w:t>
            </w:r>
            <w:r w:rsidR="00F013F6">
              <w:rPr>
                <w:sz w:val="22"/>
                <w:szCs w:val="22"/>
                <w:lang w:val="es-ES"/>
              </w:rPr>
              <w:t xml:space="preserve">un conjunto reducido de 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señales </w:t>
            </w:r>
            <w:proofErr w:type="spellStart"/>
            <w:r w:rsidR="0059226B" w:rsidRPr="005F3D42">
              <w:rPr>
                <w:sz w:val="22"/>
                <w:szCs w:val="22"/>
                <w:lang w:val="es-ES"/>
              </w:rPr>
              <w:t>polisomnográficas</w:t>
            </w:r>
            <w:proofErr w:type="spellEnd"/>
            <w:r w:rsidR="0059226B" w:rsidRPr="005F3D42">
              <w:rPr>
                <w:sz w:val="22"/>
                <w:szCs w:val="22"/>
                <w:lang w:val="es-ES"/>
              </w:rPr>
              <w:t>.</w:t>
            </w:r>
            <w:r w:rsidR="005F3D42" w:rsidRPr="005F3D42">
              <w:rPr>
                <w:sz w:val="22"/>
                <w:szCs w:val="22"/>
                <w:lang w:val="es-ES"/>
              </w:rPr>
              <w:t xml:space="preserve"> </w:t>
            </w:r>
            <w:r w:rsidR="0059226B" w:rsidRPr="005F3D42">
              <w:rPr>
                <w:sz w:val="22"/>
                <w:szCs w:val="22"/>
                <w:lang w:val="es-ES"/>
              </w:rPr>
              <w:t xml:space="preserve">El alumno tendrá la oportunidad de trabajar en </w:t>
            </w:r>
            <w:r w:rsidR="005F3D42">
              <w:rPr>
                <w:sz w:val="22"/>
                <w:szCs w:val="22"/>
                <w:lang w:val="es-ES"/>
              </w:rPr>
              <w:t xml:space="preserve">el </w:t>
            </w:r>
            <w:r w:rsidR="0059226B" w:rsidRPr="005F3D42">
              <w:rPr>
                <w:sz w:val="22"/>
                <w:szCs w:val="22"/>
                <w:lang w:val="es-ES"/>
              </w:rPr>
              <w:t>Grupo de Ingeniería Biomédica, formado por ingenieros y médicos de diferentes especialidades.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568B6061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1B8B8612" w14:textId="5EA000A7" w:rsidR="004F5A97" w:rsidRPr="00861A68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127E0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448AC" w:rsidRPr="00861A68">
              <w:rPr>
                <w:sz w:val="22"/>
                <w:szCs w:val="22"/>
                <w:lang w:val="es-ES"/>
              </w:rPr>
              <w:t>Apnea obstructiva del sueño (AOS)</w:t>
            </w:r>
            <w:r w:rsidR="00503DEC" w:rsidRPr="00861A68">
              <w:rPr>
                <w:sz w:val="22"/>
                <w:szCs w:val="22"/>
                <w:lang w:val="es-ES"/>
              </w:rPr>
              <w:t xml:space="preserve">, </w:t>
            </w:r>
            <w:r w:rsidR="001B4F19" w:rsidRPr="00FD2930">
              <w:rPr>
                <w:sz w:val="22"/>
                <w:szCs w:val="22"/>
                <w:lang w:val="es-ES"/>
              </w:rPr>
              <w:t>somnolencia diurna</w:t>
            </w:r>
            <w:r w:rsidR="00BD3C07" w:rsidRPr="00861A68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953E04" w:rsidRPr="00861A68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953E04" w:rsidRPr="00861A6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53E04" w:rsidRPr="00861A68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953E04" w:rsidRPr="00861A68">
              <w:rPr>
                <w:sz w:val="22"/>
                <w:szCs w:val="22"/>
                <w:lang w:val="es-ES"/>
              </w:rPr>
              <w:t xml:space="preserve">, </w:t>
            </w:r>
            <w:r w:rsidR="00A00070">
              <w:rPr>
                <w:sz w:val="22"/>
                <w:szCs w:val="22"/>
                <w:lang w:val="es-ES"/>
              </w:rPr>
              <w:t xml:space="preserve">señales </w:t>
            </w:r>
            <w:proofErr w:type="spellStart"/>
            <w:r w:rsidR="00A00070">
              <w:rPr>
                <w:sz w:val="22"/>
                <w:szCs w:val="22"/>
                <w:lang w:val="es-ES"/>
              </w:rPr>
              <w:t>polisomnográficas</w:t>
            </w:r>
            <w:proofErr w:type="spellEnd"/>
            <w:r w:rsidR="00A00070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3AC08E72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F10A01D" w14:textId="7959B80D" w:rsidR="00532743" w:rsidRPr="00861A68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  <w:r w:rsidR="004E76EA">
              <w:rPr>
                <w:b/>
                <w:bCs/>
                <w:sz w:val="22"/>
                <w:szCs w:val="22"/>
                <w:lang w:val="es-ES"/>
              </w:rPr>
              <w:t>: CT1, CE1 y CE9.</w:t>
            </w:r>
          </w:p>
          <w:p w14:paraId="5876CC9C" w14:textId="77777777" w:rsidR="004E76EA" w:rsidRPr="00B72FFD" w:rsidRDefault="004E76EA" w:rsidP="00B72FFD">
            <w:pPr>
              <w:rPr>
                <w:sz w:val="22"/>
                <w:szCs w:val="22"/>
                <w:lang w:val="es-ES"/>
              </w:rPr>
            </w:pPr>
            <w:r w:rsidRPr="00B72FFD">
              <w:rPr>
                <w:sz w:val="22"/>
                <w:szCs w:val="22"/>
                <w:lang w:val="es-ES"/>
              </w:rPr>
              <w:t xml:space="preserve">CT1. </w:t>
            </w:r>
            <w:r w:rsidRPr="00B72FFD">
              <w:rPr>
                <w:sz w:val="22"/>
                <w:szCs w:val="22"/>
                <w:lang w:val="es-ES"/>
              </w:rPr>
              <w:tab/>
              <w:t>Desarrollar capacidades de comunicación interpersonal y aprender a trabajar en equipos multidisciplinares, multiculturales e internacionales.</w:t>
            </w:r>
          </w:p>
          <w:p w14:paraId="60946439" w14:textId="77777777" w:rsidR="004E76EA" w:rsidRPr="00B72FFD" w:rsidRDefault="004E76EA" w:rsidP="00B72FFD">
            <w:pPr>
              <w:rPr>
                <w:sz w:val="22"/>
                <w:szCs w:val="22"/>
                <w:lang w:val="es-ES"/>
              </w:rPr>
            </w:pPr>
            <w:r w:rsidRPr="00B72FFD">
              <w:rPr>
                <w:sz w:val="22"/>
                <w:szCs w:val="22"/>
                <w:lang w:val="es-ES"/>
              </w:rPr>
              <w:t xml:space="preserve">CE1. </w:t>
            </w:r>
            <w:r w:rsidRPr="00B72FFD">
              <w:rPr>
                <w:sz w:val="22"/>
                <w:szCs w:val="22"/>
                <w:lang w:val="es-ES"/>
              </w:rPr>
              <w:tab/>
              <w:t>Adquirir conocimientos básicos sobre anatomía y fisiología humanas e identificar problemas médicos que puedan ser tratados mediante técnicas englobadas en la Ingeniería Biomédica.</w:t>
            </w:r>
          </w:p>
          <w:p w14:paraId="21FE42D4" w14:textId="37D5B999" w:rsidR="00BE2432" w:rsidRPr="00B72FFD" w:rsidRDefault="004E76EA" w:rsidP="00B72FFD">
            <w:pPr>
              <w:jc w:val="both"/>
              <w:rPr>
                <w:sz w:val="22"/>
                <w:szCs w:val="22"/>
                <w:lang w:val="es-ES"/>
              </w:rPr>
            </w:pPr>
            <w:r w:rsidRPr="00B72FFD">
              <w:rPr>
                <w:sz w:val="22"/>
                <w:szCs w:val="22"/>
                <w:lang w:val="es-ES"/>
              </w:rPr>
              <w:t xml:space="preserve">CE9. </w:t>
            </w:r>
            <w:r w:rsidRPr="00B72FFD">
              <w:rPr>
                <w:sz w:val="22"/>
                <w:szCs w:val="22"/>
                <w:lang w:val="es-ES"/>
              </w:rPr>
              <w:tab/>
              <w:t xml:space="preserve">Comprender las técnicas existentes de tratamiento de señales biomédicas para obtener información de </w:t>
            </w:r>
            <w:proofErr w:type="gramStart"/>
            <w:r w:rsidRPr="00B72FFD">
              <w:rPr>
                <w:sz w:val="22"/>
                <w:szCs w:val="22"/>
                <w:lang w:val="es-ES"/>
              </w:rPr>
              <w:t>las mismas</w:t>
            </w:r>
            <w:proofErr w:type="gramEnd"/>
            <w:r w:rsidRPr="00B72FFD">
              <w:rPr>
                <w:sz w:val="22"/>
                <w:szCs w:val="22"/>
                <w:lang w:val="es-ES"/>
              </w:rPr>
              <w:t>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78AA7326" w14:textId="77777777" w:rsidTr="006045D5">
        <w:tc>
          <w:tcPr>
            <w:tcW w:w="0" w:type="auto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1A273820" w:rsidR="00532743" w:rsidRPr="0071190B" w:rsidRDefault="0071190B" w:rsidP="0071190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noProof/>
                <w:color w:val="000000" w:themeColor="text1"/>
                <w:lang w:val="es-ES"/>
              </w:rPr>
              <w:drawing>
                <wp:anchor distT="0" distB="0" distL="114300" distR="114300" simplePos="0" relativeHeight="251658240" behindDoc="0" locked="0" layoutInCell="1" allowOverlap="1" wp14:anchorId="6A66D43B" wp14:editId="4A0BC8A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47650" cy="247650"/>
                  <wp:effectExtent l="0" t="0" r="0" b="0"/>
                  <wp:wrapSquare wrapText="bothSides"/>
                  <wp:docPr id="1828928076" name="Gráfico 1" descr="Casilla marcada con relleno sól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28076" name="Gráfico 1828928076" descr="Casilla marcada con relleno sólido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04FA" w:rsidRPr="0071190B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Asociado</w:t>
            </w:r>
            <w:r w:rsidR="00532743" w:rsidRPr="0071190B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738DB1CB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CD69E0">
              <w:rPr>
                <w:sz w:val="22"/>
                <w:szCs w:val="22"/>
                <w:lang w:val="es-ES"/>
              </w:rPr>
              <w:t xml:space="preserve"> Diego Díez Revuelta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30"/>
        <w:gridCol w:w="499"/>
      </w:tblGrid>
      <w:tr w:rsidR="00191454" w:rsidRPr="00F013F6" w14:paraId="4F3678F3" w14:textId="77777777" w:rsidTr="007A61BF">
        <w:tc>
          <w:tcPr>
            <w:tcW w:w="5000" w:type="pct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8656A0" w14:paraId="65F915EF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77CAE734" w14:textId="4AA1BDC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3212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4E76EA">
              <w:rPr>
                <w:sz w:val="22"/>
                <w:szCs w:val="22"/>
                <w:lang w:val="es-ES"/>
              </w:rPr>
              <w:t>Mario Martínez Zarzuela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1FCB6B96" w14:textId="03785A21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61B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4E76EA">
              <w:rPr>
                <w:sz w:val="22"/>
                <w:szCs w:val="22"/>
                <w:lang w:val="es-ES"/>
              </w:rPr>
              <w:t>Fernando Vaquerizo Villar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6C6214" w14:paraId="290C9998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22A4DDAE" w14:textId="05B1623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Daniel Álvarez González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636D3036" w14:textId="11B6A50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F528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Javier Gómez Pilar</w:t>
            </w:r>
            <w:r w:rsidR="005462B4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013F6" w14:paraId="558C1512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4BEE6501" w14:textId="7A462A5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4E76EA">
              <w:rPr>
                <w:sz w:val="22"/>
                <w:szCs w:val="22"/>
                <w:lang w:val="es-ES"/>
              </w:rPr>
              <w:t>Gonzalo César Gutiérrez Tobal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6D277" w14:textId="77777777" w:rsidR="006C2463" w:rsidRDefault="006C2463" w:rsidP="001A5F33">
      <w:r>
        <w:separator/>
      </w:r>
    </w:p>
  </w:endnote>
  <w:endnote w:type="continuationSeparator" w:id="0">
    <w:p w14:paraId="273641C0" w14:textId="77777777" w:rsidR="006C2463" w:rsidRDefault="006C2463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D66F7" w14:textId="77777777" w:rsidR="006C2463" w:rsidRDefault="006C2463" w:rsidP="001A5F33">
      <w:r>
        <w:separator/>
      </w:r>
    </w:p>
  </w:footnote>
  <w:footnote w:type="continuationSeparator" w:id="0">
    <w:p w14:paraId="113C467B" w14:textId="77777777" w:rsidR="006C2463" w:rsidRDefault="006C2463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06BE4"/>
    <w:multiLevelType w:val="hybridMultilevel"/>
    <w:tmpl w:val="CA3E6AB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59DF1741"/>
    <w:multiLevelType w:val="hybridMultilevel"/>
    <w:tmpl w:val="E1B0D6B4"/>
    <w:lvl w:ilvl="0" w:tplc="52342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8058">
    <w:abstractNumId w:val="2"/>
  </w:num>
  <w:num w:numId="2" w16cid:durableId="2093577790">
    <w:abstractNumId w:val="1"/>
  </w:num>
  <w:num w:numId="3" w16cid:durableId="1553611874">
    <w:abstractNumId w:val="3"/>
  </w:num>
  <w:num w:numId="4" w16cid:durableId="1849560168">
    <w:abstractNumId w:val="0"/>
  </w:num>
  <w:num w:numId="5" w16cid:durableId="299917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3BAE"/>
    <w:rsid w:val="000330DA"/>
    <w:rsid w:val="00080733"/>
    <w:rsid w:val="000905F7"/>
    <w:rsid w:val="00094E5F"/>
    <w:rsid w:val="000A41E6"/>
    <w:rsid w:val="000A443E"/>
    <w:rsid w:val="000B4714"/>
    <w:rsid w:val="000B4FA8"/>
    <w:rsid w:val="000B6093"/>
    <w:rsid w:val="000B7F31"/>
    <w:rsid w:val="000D5488"/>
    <w:rsid w:val="000D5E8A"/>
    <w:rsid w:val="000E1C2F"/>
    <w:rsid w:val="000E73C5"/>
    <w:rsid w:val="001057AD"/>
    <w:rsid w:val="001125FB"/>
    <w:rsid w:val="00125047"/>
    <w:rsid w:val="001322D4"/>
    <w:rsid w:val="00134AFF"/>
    <w:rsid w:val="00144349"/>
    <w:rsid w:val="00147188"/>
    <w:rsid w:val="0017543C"/>
    <w:rsid w:val="00191454"/>
    <w:rsid w:val="001A5F33"/>
    <w:rsid w:val="001B4F19"/>
    <w:rsid w:val="001D0441"/>
    <w:rsid w:val="001D59A8"/>
    <w:rsid w:val="001D6F98"/>
    <w:rsid w:val="001D7345"/>
    <w:rsid w:val="001E52AB"/>
    <w:rsid w:val="002075AB"/>
    <w:rsid w:val="00232CCC"/>
    <w:rsid w:val="00241058"/>
    <w:rsid w:val="002555E5"/>
    <w:rsid w:val="0027449F"/>
    <w:rsid w:val="002B127B"/>
    <w:rsid w:val="00306D6E"/>
    <w:rsid w:val="00313B3A"/>
    <w:rsid w:val="003167BA"/>
    <w:rsid w:val="00321216"/>
    <w:rsid w:val="00322286"/>
    <w:rsid w:val="003704FA"/>
    <w:rsid w:val="0037269A"/>
    <w:rsid w:val="00372D35"/>
    <w:rsid w:val="00390168"/>
    <w:rsid w:val="00394C26"/>
    <w:rsid w:val="00394D46"/>
    <w:rsid w:val="003955CD"/>
    <w:rsid w:val="00397D0D"/>
    <w:rsid w:val="003A2734"/>
    <w:rsid w:val="003B3ADF"/>
    <w:rsid w:val="003D3E35"/>
    <w:rsid w:val="00400C29"/>
    <w:rsid w:val="004469EB"/>
    <w:rsid w:val="004A068B"/>
    <w:rsid w:val="004D5592"/>
    <w:rsid w:val="004D6211"/>
    <w:rsid w:val="004E76EA"/>
    <w:rsid w:val="004F5A97"/>
    <w:rsid w:val="00503DEC"/>
    <w:rsid w:val="00512C3F"/>
    <w:rsid w:val="00523BBD"/>
    <w:rsid w:val="00532743"/>
    <w:rsid w:val="00532C57"/>
    <w:rsid w:val="00536367"/>
    <w:rsid w:val="005428E9"/>
    <w:rsid w:val="005462B4"/>
    <w:rsid w:val="005549A2"/>
    <w:rsid w:val="00576F1E"/>
    <w:rsid w:val="0059226B"/>
    <w:rsid w:val="005A726C"/>
    <w:rsid w:val="005B420F"/>
    <w:rsid w:val="005C609B"/>
    <w:rsid w:val="005D2818"/>
    <w:rsid w:val="005F2D29"/>
    <w:rsid w:val="005F3D42"/>
    <w:rsid w:val="006045D5"/>
    <w:rsid w:val="006049E3"/>
    <w:rsid w:val="006111ED"/>
    <w:rsid w:val="00622B54"/>
    <w:rsid w:val="00622FF1"/>
    <w:rsid w:val="0063749D"/>
    <w:rsid w:val="00650C5B"/>
    <w:rsid w:val="00671857"/>
    <w:rsid w:val="00672F3F"/>
    <w:rsid w:val="00675576"/>
    <w:rsid w:val="00693079"/>
    <w:rsid w:val="006B4933"/>
    <w:rsid w:val="006C2463"/>
    <w:rsid w:val="006C6214"/>
    <w:rsid w:val="006D6089"/>
    <w:rsid w:val="006F1592"/>
    <w:rsid w:val="00706D8A"/>
    <w:rsid w:val="0071190B"/>
    <w:rsid w:val="00713F2C"/>
    <w:rsid w:val="0073575C"/>
    <w:rsid w:val="007448AC"/>
    <w:rsid w:val="00746A7B"/>
    <w:rsid w:val="00790395"/>
    <w:rsid w:val="007A61BF"/>
    <w:rsid w:val="007B012B"/>
    <w:rsid w:val="007B03D3"/>
    <w:rsid w:val="007B2709"/>
    <w:rsid w:val="007D7D0E"/>
    <w:rsid w:val="007E72C0"/>
    <w:rsid w:val="007F5224"/>
    <w:rsid w:val="0080541A"/>
    <w:rsid w:val="00823C40"/>
    <w:rsid w:val="00832DD9"/>
    <w:rsid w:val="00861A68"/>
    <w:rsid w:val="00863BDA"/>
    <w:rsid w:val="008656A0"/>
    <w:rsid w:val="00897B72"/>
    <w:rsid w:val="008B7827"/>
    <w:rsid w:val="008D0637"/>
    <w:rsid w:val="008D25C4"/>
    <w:rsid w:val="008D2EBF"/>
    <w:rsid w:val="008F4FEB"/>
    <w:rsid w:val="00907F6B"/>
    <w:rsid w:val="00922813"/>
    <w:rsid w:val="00953E04"/>
    <w:rsid w:val="009571E0"/>
    <w:rsid w:val="0097603A"/>
    <w:rsid w:val="00987153"/>
    <w:rsid w:val="009D1E9D"/>
    <w:rsid w:val="009E7AF9"/>
    <w:rsid w:val="00A00070"/>
    <w:rsid w:val="00A147DA"/>
    <w:rsid w:val="00A20D63"/>
    <w:rsid w:val="00A54EB7"/>
    <w:rsid w:val="00A73811"/>
    <w:rsid w:val="00A81EA0"/>
    <w:rsid w:val="00A865CA"/>
    <w:rsid w:val="00A9184A"/>
    <w:rsid w:val="00B13E4A"/>
    <w:rsid w:val="00B47BED"/>
    <w:rsid w:val="00B6446A"/>
    <w:rsid w:val="00B72FFD"/>
    <w:rsid w:val="00B86E90"/>
    <w:rsid w:val="00B87F7E"/>
    <w:rsid w:val="00B92550"/>
    <w:rsid w:val="00BA0607"/>
    <w:rsid w:val="00BC326D"/>
    <w:rsid w:val="00BD3C07"/>
    <w:rsid w:val="00BE2432"/>
    <w:rsid w:val="00C26841"/>
    <w:rsid w:val="00C30D25"/>
    <w:rsid w:val="00C44B7E"/>
    <w:rsid w:val="00C4564E"/>
    <w:rsid w:val="00C5264D"/>
    <w:rsid w:val="00C66BF8"/>
    <w:rsid w:val="00C92E7A"/>
    <w:rsid w:val="00C95471"/>
    <w:rsid w:val="00CA17D5"/>
    <w:rsid w:val="00CA24C2"/>
    <w:rsid w:val="00CD0084"/>
    <w:rsid w:val="00CD69E0"/>
    <w:rsid w:val="00D00B92"/>
    <w:rsid w:val="00D0465F"/>
    <w:rsid w:val="00D13E36"/>
    <w:rsid w:val="00D16731"/>
    <w:rsid w:val="00D365CE"/>
    <w:rsid w:val="00D4699F"/>
    <w:rsid w:val="00D52CE1"/>
    <w:rsid w:val="00D707D2"/>
    <w:rsid w:val="00D73FAB"/>
    <w:rsid w:val="00D75AD4"/>
    <w:rsid w:val="00D810A8"/>
    <w:rsid w:val="00D863B1"/>
    <w:rsid w:val="00D95C21"/>
    <w:rsid w:val="00DC25A2"/>
    <w:rsid w:val="00DD4AE3"/>
    <w:rsid w:val="00DF69E5"/>
    <w:rsid w:val="00E22FB5"/>
    <w:rsid w:val="00E658F7"/>
    <w:rsid w:val="00E7065E"/>
    <w:rsid w:val="00E8674B"/>
    <w:rsid w:val="00EA1C8C"/>
    <w:rsid w:val="00EA4C45"/>
    <w:rsid w:val="00EB36E5"/>
    <w:rsid w:val="00ED259C"/>
    <w:rsid w:val="00ED4AF9"/>
    <w:rsid w:val="00EF5289"/>
    <w:rsid w:val="00EF5452"/>
    <w:rsid w:val="00F013F6"/>
    <w:rsid w:val="00F046BE"/>
    <w:rsid w:val="00F127E0"/>
    <w:rsid w:val="00F20B38"/>
    <w:rsid w:val="00F21D0D"/>
    <w:rsid w:val="00F33610"/>
    <w:rsid w:val="00F33EC3"/>
    <w:rsid w:val="00F355FE"/>
    <w:rsid w:val="00F95A4C"/>
    <w:rsid w:val="00FB186D"/>
    <w:rsid w:val="00FB1D1C"/>
    <w:rsid w:val="00FB6B76"/>
    <w:rsid w:val="00FC7EB7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B4F1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941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3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2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356</Words>
  <Characters>2085</Characters>
  <Application>Microsoft Office Word</Application>
  <DocSecurity>0</DocSecurity>
  <Lines>65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FERNANDO VAQUERIZO VILLAR</cp:lastModifiedBy>
  <cp:revision>40</cp:revision>
  <cp:lastPrinted>2022-06-16T18:10:00Z</cp:lastPrinted>
  <dcterms:created xsi:type="dcterms:W3CDTF">2024-10-11T14:23:00Z</dcterms:created>
  <dcterms:modified xsi:type="dcterms:W3CDTF">2025-09-24T11:00:00Z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de6679e0-0da1-4524-9e28-f29a4ae24e25</vt:lpwstr>
  </property>
</Properties>
</file>