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40EB1" w14:textId="527B63D2" w:rsidR="001A5F33" w:rsidRPr="00046305" w:rsidRDefault="00C5264D" w:rsidP="00046305">
      <w:pPr>
        <w:spacing w:after="120"/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F149D4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F149D4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2C98044D" w:rsidR="00294459" w:rsidRPr="00BD03D7" w:rsidRDefault="00BD03D7" w:rsidP="00BD03D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es-ES" w:eastAsia="es-ES"/>
              </w:rPr>
            </w:pPr>
            <w:proofErr w:type="spellStart"/>
            <w:r w:rsidRPr="00BD03D7">
              <w:rPr>
                <w:sz w:val="22"/>
                <w:szCs w:val="22"/>
              </w:rPr>
              <w:t>Identificación</w:t>
            </w:r>
            <w:proofErr w:type="spellEnd"/>
            <w:r w:rsidRPr="00BD03D7">
              <w:rPr>
                <w:sz w:val="22"/>
                <w:szCs w:val="22"/>
              </w:rPr>
              <w:t xml:space="preserve"> de </w:t>
            </w:r>
            <w:proofErr w:type="spellStart"/>
            <w:r w:rsidRPr="00BD03D7">
              <w:rPr>
                <w:sz w:val="22"/>
                <w:szCs w:val="22"/>
              </w:rPr>
              <w:t>fenotipos</w:t>
            </w:r>
            <w:proofErr w:type="spellEnd"/>
            <w:r w:rsidRPr="00BD03D7">
              <w:rPr>
                <w:sz w:val="22"/>
                <w:szCs w:val="22"/>
              </w:rPr>
              <w:t xml:space="preserve"> </w:t>
            </w:r>
            <w:proofErr w:type="spellStart"/>
            <w:r w:rsidRPr="00BD03D7">
              <w:rPr>
                <w:sz w:val="22"/>
                <w:szCs w:val="22"/>
              </w:rPr>
              <w:t>clínicamente</w:t>
            </w:r>
            <w:proofErr w:type="spellEnd"/>
            <w:r w:rsidRPr="00BD03D7">
              <w:rPr>
                <w:sz w:val="22"/>
                <w:szCs w:val="22"/>
              </w:rPr>
              <w:t xml:space="preserve"> </w:t>
            </w:r>
            <w:proofErr w:type="spellStart"/>
            <w:r w:rsidRPr="00BD03D7">
              <w:rPr>
                <w:sz w:val="22"/>
                <w:szCs w:val="22"/>
              </w:rPr>
              <w:t>relevantes</w:t>
            </w:r>
            <w:proofErr w:type="spellEnd"/>
            <w:r w:rsidRPr="00BD03D7">
              <w:rPr>
                <w:sz w:val="22"/>
                <w:szCs w:val="22"/>
              </w:rPr>
              <w:t xml:space="preserve"> </w:t>
            </w:r>
            <w:proofErr w:type="spellStart"/>
            <w:r w:rsidRPr="00BD03D7">
              <w:rPr>
                <w:sz w:val="22"/>
                <w:szCs w:val="22"/>
              </w:rPr>
              <w:t>en</w:t>
            </w:r>
            <w:proofErr w:type="spellEnd"/>
            <w:r w:rsidRPr="00BD03D7">
              <w:rPr>
                <w:sz w:val="22"/>
                <w:szCs w:val="22"/>
              </w:rPr>
              <w:t xml:space="preserve"> la </w:t>
            </w:r>
            <w:proofErr w:type="spellStart"/>
            <w:r w:rsidRPr="00BD03D7">
              <w:rPr>
                <w:sz w:val="22"/>
                <w:szCs w:val="22"/>
              </w:rPr>
              <w:t>enfermedad</w:t>
            </w:r>
            <w:proofErr w:type="spellEnd"/>
            <w:r w:rsidRPr="00BD03D7">
              <w:rPr>
                <w:sz w:val="22"/>
                <w:szCs w:val="22"/>
              </w:rPr>
              <w:t xml:space="preserve"> de Alzheimer </w:t>
            </w:r>
            <w:proofErr w:type="spellStart"/>
            <w:r w:rsidRPr="00BD03D7">
              <w:rPr>
                <w:sz w:val="22"/>
                <w:szCs w:val="22"/>
              </w:rPr>
              <w:t>mediante</w:t>
            </w:r>
            <w:proofErr w:type="spellEnd"/>
            <w:r w:rsidRPr="00BD03D7">
              <w:rPr>
                <w:sz w:val="22"/>
                <w:szCs w:val="22"/>
              </w:rPr>
              <w:t xml:space="preserve"> </w:t>
            </w:r>
            <w:proofErr w:type="spellStart"/>
            <w:r w:rsidRPr="00BD03D7">
              <w:rPr>
                <w:sz w:val="22"/>
                <w:szCs w:val="22"/>
              </w:rPr>
              <w:t>técnicas</w:t>
            </w:r>
            <w:proofErr w:type="spellEnd"/>
            <w:r w:rsidRPr="00BD03D7">
              <w:rPr>
                <w:sz w:val="22"/>
                <w:szCs w:val="22"/>
              </w:rPr>
              <w:t xml:space="preserve"> de </w:t>
            </w:r>
            <w:proofErr w:type="spellStart"/>
            <w:r w:rsidRPr="00BD03D7">
              <w:rPr>
                <w:sz w:val="22"/>
                <w:szCs w:val="22"/>
              </w:rPr>
              <w:t>aprendizaje</w:t>
            </w:r>
            <w:proofErr w:type="spellEnd"/>
            <w:r w:rsidRPr="00BD03D7">
              <w:rPr>
                <w:sz w:val="22"/>
                <w:szCs w:val="22"/>
              </w:rPr>
              <w:t xml:space="preserve"> </w:t>
            </w:r>
            <w:proofErr w:type="spellStart"/>
            <w:r w:rsidRPr="00BD03D7">
              <w:rPr>
                <w:sz w:val="22"/>
                <w:szCs w:val="22"/>
              </w:rPr>
              <w:t>automático</w:t>
            </w:r>
            <w:proofErr w:type="spellEnd"/>
            <w:r w:rsidRPr="00BD03D7">
              <w:rPr>
                <w:sz w:val="22"/>
                <w:szCs w:val="22"/>
              </w:rPr>
              <w:t xml:space="preserve"> no </w:t>
            </w:r>
            <w:proofErr w:type="spellStart"/>
            <w:r w:rsidRPr="00BD03D7">
              <w:rPr>
                <w:sz w:val="22"/>
                <w:szCs w:val="22"/>
              </w:rPr>
              <w:t>supervisado</w:t>
            </w:r>
            <w:proofErr w:type="spellEnd"/>
            <w:r w:rsidRPr="00BD03D7">
              <w:rPr>
                <w:sz w:val="22"/>
                <w:szCs w:val="22"/>
              </w:rPr>
              <w:t xml:space="preserve"> </w:t>
            </w:r>
            <w:proofErr w:type="spellStart"/>
            <w:r w:rsidRPr="00BD03D7">
              <w:rPr>
                <w:sz w:val="22"/>
                <w:szCs w:val="22"/>
              </w:rPr>
              <w:t>aplicado</w:t>
            </w:r>
            <w:proofErr w:type="spellEnd"/>
            <w:r w:rsidRPr="00BD03D7">
              <w:rPr>
                <w:sz w:val="22"/>
                <w:szCs w:val="22"/>
              </w:rPr>
              <w:t xml:space="preserve"> </w:t>
            </w:r>
            <w:r w:rsidRPr="00BD03D7">
              <w:rPr>
                <w:sz w:val="22"/>
                <w:szCs w:val="22"/>
              </w:rPr>
              <w:t>a</w:t>
            </w:r>
            <w:r w:rsidRPr="00BD03D7">
              <w:rPr>
                <w:sz w:val="22"/>
                <w:szCs w:val="22"/>
              </w:rPr>
              <w:t xml:space="preserve"> </w:t>
            </w:r>
            <w:proofErr w:type="spellStart"/>
            <w:r w:rsidRPr="00BD03D7">
              <w:rPr>
                <w:sz w:val="22"/>
                <w:szCs w:val="22"/>
              </w:rPr>
              <w:t>datos</w:t>
            </w:r>
            <w:proofErr w:type="spellEnd"/>
            <w:r w:rsidRPr="00BD03D7">
              <w:rPr>
                <w:sz w:val="22"/>
                <w:szCs w:val="22"/>
              </w:rPr>
              <w:t xml:space="preserve"> </w:t>
            </w:r>
            <w:proofErr w:type="spellStart"/>
            <w:r w:rsidRPr="00BD03D7">
              <w:rPr>
                <w:sz w:val="22"/>
                <w:szCs w:val="22"/>
              </w:rPr>
              <w:t>multimodales</w:t>
            </w:r>
            <w:proofErr w:type="spellEnd"/>
          </w:p>
        </w:tc>
      </w:tr>
      <w:tr w:rsidR="00191454" w:rsidRPr="00F149D4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6EC55320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</w:t>
            </w:r>
            <w:r w:rsidR="006E25E4">
              <w:rPr>
                <w:b/>
                <w:bCs/>
                <w:sz w:val="22"/>
                <w:szCs w:val="22"/>
                <w:lang w:val="es-ES"/>
              </w:rPr>
              <w:t>es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4900222" w14:textId="6776107E" w:rsidR="00532743" w:rsidRPr="00532743" w:rsidRDefault="00914DB2" w:rsidP="006778C3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Javier</w:t>
            </w:r>
            <w:r w:rsidR="006778C3">
              <w:rPr>
                <w:sz w:val="22"/>
                <w:szCs w:val="22"/>
                <w:lang w:val="es-ES"/>
              </w:rPr>
              <w:t xml:space="preserve"> Gómez Pilar</w:t>
            </w:r>
            <w:r w:rsidR="00F46B7D">
              <w:rPr>
                <w:sz w:val="22"/>
                <w:szCs w:val="22"/>
                <w:lang w:val="es-ES"/>
              </w:rPr>
              <w:t xml:space="preserve"> y </w:t>
            </w:r>
            <w:r w:rsidR="00046305">
              <w:rPr>
                <w:sz w:val="22"/>
                <w:szCs w:val="22"/>
                <w:lang w:val="es-ES"/>
              </w:rPr>
              <w:t xml:space="preserve">Marina </w:t>
            </w:r>
            <w:proofErr w:type="spellStart"/>
            <w:r w:rsidR="00046305">
              <w:rPr>
                <w:sz w:val="22"/>
                <w:szCs w:val="22"/>
                <w:lang w:val="es-ES"/>
              </w:rPr>
              <w:t>Sandonís</w:t>
            </w:r>
            <w:proofErr w:type="spellEnd"/>
            <w:r w:rsidR="00046305">
              <w:rPr>
                <w:sz w:val="22"/>
                <w:szCs w:val="22"/>
                <w:lang w:val="es-ES"/>
              </w:rPr>
              <w:t xml:space="preserve"> Fernández</w:t>
            </w:r>
          </w:p>
        </w:tc>
      </w:tr>
      <w:tr w:rsidR="006778C3" w:rsidRPr="00F149D4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D038842" w14:textId="54479F66" w:rsidR="00294459" w:rsidRPr="00532743" w:rsidRDefault="006778C3" w:rsidP="006778C3">
            <w:pPr>
              <w:rPr>
                <w:sz w:val="22"/>
                <w:szCs w:val="22"/>
                <w:lang w:val="es-ES"/>
              </w:rPr>
            </w:pPr>
            <w:r w:rsidRPr="00D17F23">
              <w:rPr>
                <w:sz w:val="22"/>
                <w:szCs w:val="22"/>
                <w:lang w:val="es-ES"/>
              </w:rPr>
              <w:t>Teoría de la Señal y Comunicaciones e Ingeniería Telemática</w:t>
            </w:r>
          </w:p>
        </w:tc>
      </w:tr>
      <w:tr w:rsidR="006778C3" w:rsidRPr="00046305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06223821" w14:textId="64D806A1" w:rsidR="00046305" w:rsidRPr="00046305" w:rsidRDefault="00046305" w:rsidP="00046305">
            <w:pPr>
              <w:spacing w:after="60"/>
              <w:ind w:firstLine="314"/>
              <w:jc w:val="both"/>
              <w:rPr>
                <w:rFonts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</w:pPr>
            <w:r w:rsidRPr="00046305">
              <w:rPr>
                <w:rFonts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>La enfermedad de Alzheimer es una patología neurodegenerativa con gran heterogeneidad en su evolución clínica, la respuesta a tratamientos y los grados de severidad. Esta variabilidad dificulta tanto el diagnóstico temprano como la elección de intervenciones terapéuticas. El uso de técnicas de neuroimagen funcional como el EEG y el MEG permite caracterizar la actividad cerebral con alta resolución temporal, ofreciendo biomarcadores útiles para diferenciar patrones de progresión.</w:t>
            </w:r>
          </w:p>
          <w:p w14:paraId="6CFBFBBA" w14:textId="4E833B49" w:rsidR="00046305" w:rsidRPr="00046305" w:rsidRDefault="00046305" w:rsidP="00046305">
            <w:pPr>
              <w:spacing w:after="60"/>
              <w:ind w:firstLine="314"/>
              <w:jc w:val="both"/>
              <w:rPr>
                <w:rFonts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</w:pPr>
            <w:r w:rsidRPr="00046305">
              <w:rPr>
                <w:rFonts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>El aprendizaje no supervisado ofrece una oportunidad para descubrir subgrupos ocultos de pacientes sin necesidad de etiquetas previas, lo que puede permitir identificar fenotipos clínicamente relevantes: algunos con progresión más rápida, otros más resistentes o con distinta susceptibilidad a tratamientos. Integrando datos neurofisiológicos con variables clínicas y sociodemográficas (edad, sexo, nivel educativo, historial médico), se busca desarrollar modelos que ayuden a estratificar a los pacientes y entender mejor la complejidad de la enfermedad.</w:t>
            </w:r>
          </w:p>
          <w:p w14:paraId="6462B184" w14:textId="19F4F141" w:rsidR="00294459" w:rsidRPr="00046305" w:rsidRDefault="00046305" w:rsidP="00046305">
            <w:pPr>
              <w:spacing w:after="60"/>
              <w:ind w:firstLine="314"/>
              <w:jc w:val="both"/>
              <w:rPr>
                <w:sz w:val="20"/>
                <w:szCs w:val="20"/>
                <w:lang w:val="es-ES"/>
              </w:rPr>
            </w:pPr>
            <w:r w:rsidRPr="00046305">
              <w:rPr>
                <w:rFonts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 xml:space="preserve">El objetivo de este TFG es aplicar algoritmos de </w:t>
            </w:r>
            <w:proofErr w:type="spellStart"/>
            <w:r w:rsidRPr="00046305">
              <w:rPr>
                <w:rFonts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>clustering</w:t>
            </w:r>
            <w:proofErr w:type="spellEnd"/>
            <w:r w:rsidRPr="00046305">
              <w:rPr>
                <w:rFonts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 xml:space="preserve"> a datos multimodales de pacientes con Alzheimer para identificar patrones diferenciales de progresión y severidad, que puedan servir como base para enfoques personalizados en el manejo clínico. El alumno se integrará en un equipo de investigación multidisciplinar de neurociencia e ingeniería biomédica, participando en el análisis de datos clínicos y señales EEG/MEG, con posibilidad de implicarse en la validación de resultados junto a expertos en neurología.</w:t>
            </w:r>
          </w:p>
        </w:tc>
      </w:tr>
      <w:tr w:rsidR="006778C3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3EEC0296" w:rsidR="006778C3" w:rsidRPr="00532743" w:rsidRDefault="00EC43FB" w:rsidP="006778C3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Neurociencia; </w:t>
            </w:r>
            <w:r w:rsidR="00BD03D7">
              <w:rPr>
                <w:sz w:val="22"/>
                <w:szCs w:val="22"/>
                <w:lang w:val="es-ES"/>
              </w:rPr>
              <w:t>Alzheimer</w:t>
            </w:r>
            <w:r>
              <w:rPr>
                <w:sz w:val="22"/>
                <w:szCs w:val="22"/>
                <w:lang w:val="es-ES"/>
              </w:rPr>
              <w:t>; EEG</w:t>
            </w:r>
            <w:r w:rsidR="00BD03D7">
              <w:rPr>
                <w:sz w:val="22"/>
                <w:szCs w:val="22"/>
                <w:lang w:val="es-ES"/>
              </w:rPr>
              <w:t xml:space="preserve">; </w:t>
            </w:r>
            <w:proofErr w:type="spellStart"/>
            <w:r w:rsidR="00BD03D7">
              <w:rPr>
                <w:sz w:val="22"/>
                <w:szCs w:val="22"/>
                <w:lang w:val="es-ES"/>
              </w:rPr>
              <w:t>clustering</w:t>
            </w:r>
            <w:proofErr w:type="spellEnd"/>
          </w:p>
        </w:tc>
      </w:tr>
      <w:tr w:rsidR="006778C3" w:rsidRPr="00F149D4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DBE5E5C" w14:textId="3BD13CC3" w:rsidR="003A2CA9" w:rsidRPr="00BD03D7" w:rsidRDefault="003A2CA9" w:rsidP="00D52567">
            <w:pPr>
              <w:tabs>
                <w:tab w:val="left" w:pos="739"/>
              </w:tabs>
              <w:ind w:left="597" w:hanging="597"/>
              <w:jc w:val="both"/>
              <w:rPr>
                <w:sz w:val="22"/>
                <w:szCs w:val="22"/>
                <w:lang w:val="es-ES"/>
              </w:rPr>
            </w:pPr>
            <w:r w:rsidRPr="00BD03D7">
              <w:rPr>
                <w:sz w:val="22"/>
                <w:szCs w:val="22"/>
                <w:lang w:val="es-ES"/>
              </w:rPr>
              <w:t>CT1.</w:t>
            </w:r>
            <w:r w:rsidR="00D52567" w:rsidRPr="00BD03D7">
              <w:rPr>
                <w:sz w:val="20"/>
                <w:szCs w:val="20"/>
                <w:lang w:val="es-ES"/>
              </w:rPr>
              <w:t xml:space="preserve"> </w:t>
            </w:r>
            <w:r w:rsidR="00D52567" w:rsidRPr="00BD03D7">
              <w:rPr>
                <w:sz w:val="20"/>
                <w:szCs w:val="20"/>
                <w:lang w:val="es-ES"/>
              </w:rPr>
              <w:tab/>
            </w:r>
            <w:r w:rsidRPr="00BD03D7">
              <w:rPr>
                <w:sz w:val="22"/>
                <w:szCs w:val="22"/>
                <w:lang w:val="es-ES"/>
              </w:rPr>
              <w:t>Desarrollar capacidades de comunicación interpersonal y aprender a trabajar en equipos multidisciplinares, multiculturales e internacionales.</w:t>
            </w:r>
          </w:p>
          <w:p w14:paraId="7B36B208" w14:textId="4F33436F" w:rsidR="003A2CA9" w:rsidRPr="00BD03D7" w:rsidRDefault="003A2CA9" w:rsidP="00D52567">
            <w:pPr>
              <w:ind w:left="597" w:hanging="597"/>
              <w:jc w:val="both"/>
              <w:rPr>
                <w:sz w:val="22"/>
                <w:szCs w:val="22"/>
                <w:lang w:val="es-ES"/>
              </w:rPr>
            </w:pPr>
            <w:r w:rsidRPr="00BD03D7">
              <w:rPr>
                <w:sz w:val="22"/>
                <w:szCs w:val="22"/>
                <w:lang w:val="es-ES"/>
              </w:rPr>
              <w:t>CE1.</w:t>
            </w:r>
            <w:r w:rsidR="00D52567" w:rsidRPr="00BD03D7">
              <w:rPr>
                <w:sz w:val="20"/>
                <w:szCs w:val="20"/>
                <w:lang w:val="es-ES"/>
              </w:rPr>
              <w:t xml:space="preserve"> </w:t>
            </w:r>
            <w:r w:rsidR="00D52567" w:rsidRPr="00BD03D7">
              <w:rPr>
                <w:sz w:val="20"/>
                <w:szCs w:val="20"/>
                <w:lang w:val="es-ES"/>
              </w:rPr>
              <w:tab/>
            </w:r>
            <w:r w:rsidRPr="00BD03D7">
              <w:rPr>
                <w:sz w:val="22"/>
                <w:szCs w:val="22"/>
                <w:lang w:val="es-ES"/>
              </w:rPr>
              <w:t>Adquirir conocimientos básicos sobre anatomía y fisiología humanas e identificar problemas médicos que puedan ser tratados mediante técnicas englobadas en la Ingeniería Biomédica.</w:t>
            </w:r>
          </w:p>
          <w:p w14:paraId="32567B2F" w14:textId="5DFEA794" w:rsidR="006778C3" w:rsidRPr="00532743" w:rsidRDefault="003A2CA9" w:rsidP="00D52567">
            <w:pPr>
              <w:ind w:left="597" w:hanging="597"/>
              <w:jc w:val="both"/>
              <w:rPr>
                <w:sz w:val="22"/>
                <w:szCs w:val="22"/>
                <w:lang w:val="es-ES"/>
              </w:rPr>
            </w:pPr>
            <w:r w:rsidRPr="00BD03D7">
              <w:rPr>
                <w:sz w:val="22"/>
                <w:szCs w:val="22"/>
                <w:lang w:val="es-ES"/>
              </w:rPr>
              <w:t>CE9.</w:t>
            </w:r>
            <w:r w:rsidR="00D52567" w:rsidRPr="00BD03D7">
              <w:rPr>
                <w:sz w:val="20"/>
                <w:szCs w:val="20"/>
                <w:lang w:val="es-ES"/>
              </w:rPr>
              <w:t xml:space="preserve"> </w:t>
            </w:r>
            <w:r w:rsidR="00D52567" w:rsidRPr="00BD03D7">
              <w:rPr>
                <w:sz w:val="20"/>
                <w:szCs w:val="20"/>
                <w:lang w:val="es-ES"/>
              </w:rPr>
              <w:tab/>
            </w:r>
            <w:r w:rsidRPr="00BD03D7">
              <w:rPr>
                <w:sz w:val="22"/>
                <w:szCs w:val="22"/>
                <w:lang w:val="es-ES"/>
              </w:rPr>
              <w:t>Comprender las técnicas existentes de tratamiento de señales biomédicas para obtener información de las mismas.</w:t>
            </w:r>
          </w:p>
        </w:tc>
      </w:tr>
      <w:tr w:rsidR="006778C3" w:rsidRPr="00F149D4" w14:paraId="78AA7326" w14:textId="77777777" w:rsidTr="00191454">
        <w:tc>
          <w:tcPr>
            <w:tcW w:w="9634" w:type="dxa"/>
            <w:gridSpan w:val="2"/>
            <w:vAlign w:val="center"/>
          </w:tcPr>
          <w:p w14:paraId="66B36FBA" w14:textId="265F964C" w:rsidR="006778C3" w:rsidRPr="00394C26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2A5E247C" w14:textId="33C03F78" w:rsidR="006778C3" w:rsidRPr="00532743" w:rsidRDefault="006778C3" w:rsidP="006778C3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 (si procede):</w:t>
            </w:r>
            <w:r w:rsidR="00046305">
              <w:rPr>
                <w:sz w:val="22"/>
                <w:szCs w:val="22"/>
                <w:lang w:val="es-ES"/>
              </w:rPr>
              <w:t xml:space="preserve"> Paula Rodríguez Martín</w:t>
            </w: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F149D4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351774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5E6CE376" w:rsidR="00351774" w:rsidRPr="00993BF8" w:rsidRDefault="00046305" w:rsidP="004D4CF7">
            <w:pPr>
              <w:rPr>
                <w:sz w:val="22"/>
                <w:szCs w:val="22"/>
                <w:lang w:val="pt-BR"/>
              </w:rPr>
            </w:pPr>
            <w:proofErr w:type="spellStart"/>
            <w:r>
              <w:rPr>
                <w:sz w:val="22"/>
                <w:szCs w:val="22"/>
                <w:lang w:val="pt-BR"/>
              </w:rPr>
              <w:t>Jesús</w:t>
            </w:r>
            <w:proofErr w:type="spellEnd"/>
            <w:r>
              <w:rPr>
                <w:sz w:val="22"/>
                <w:szCs w:val="22"/>
                <w:lang w:val="pt-B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pt-BR"/>
              </w:rPr>
              <w:t>Poza</w:t>
            </w:r>
            <w:proofErr w:type="spellEnd"/>
            <w:r>
              <w:rPr>
                <w:sz w:val="22"/>
                <w:szCs w:val="22"/>
                <w:lang w:val="pt-BR"/>
              </w:rPr>
              <w:t xml:space="preserve"> Crespo</w:t>
            </w:r>
          </w:p>
        </w:tc>
      </w:tr>
      <w:tr w:rsidR="00191454" w14:paraId="1A5DFC4D" w14:textId="77777777" w:rsidTr="00F46B7D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01E8A38B" w:rsidR="004F5A97" w:rsidRPr="00FA540A" w:rsidRDefault="00046305" w:rsidP="004D4CF7">
            <w:pPr>
              <w:rPr>
                <w:sz w:val="22"/>
                <w:szCs w:val="22"/>
                <w:lang w:val="es-ES"/>
              </w:rPr>
            </w:pPr>
            <w:r w:rsidRPr="00046305">
              <w:rPr>
                <w:sz w:val="22"/>
                <w:szCs w:val="22"/>
                <w:lang w:val="es-ES"/>
              </w:rPr>
              <w:t>Javier Gómez Pilar</w:t>
            </w:r>
          </w:p>
        </w:tc>
      </w:tr>
      <w:tr w:rsidR="00191454" w:rsidRPr="00B21F52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3142E119" w:rsidR="003B153F" w:rsidRPr="00FA540A" w:rsidRDefault="00046305" w:rsidP="00C81BDD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pt-BR"/>
              </w:rPr>
              <w:t xml:space="preserve">Carlos Gómez </w:t>
            </w:r>
            <w:proofErr w:type="spellStart"/>
            <w:r>
              <w:rPr>
                <w:sz w:val="22"/>
                <w:szCs w:val="22"/>
                <w:lang w:val="pt-BR"/>
              </w:rPr>
              <w:t>Peña</w:t>
            </w:r>
            <w:proofErr w:type="spellEnd"/>
            <w:r w:rsidR="003B153F" w:rsidRPr="00F149D4">
              <w:rPr>
                <w:sz w:val="22"/>
                <w:szCs w:val="22"/>
                <w:lang w:val="es-ES"/>
              </w:rPr>
              <w:t xml:space="preserve"> </w:t>
            </w:r>
          </w:p>
        </w:tc>
      </w:tr>
      <w:tr w:rsidR="00191454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07675D2B" w:rsidR="004F5A97" w:rsidRPr="00FA540A" w:rsidRDefault="00046305" w:rsidP="004D4CF7">
            <w:pPr>
              <w:rPr>
                <w:sz w:val="22"/>
                <w:szCs w:val="22"/>
                <w:lang w:val="es-ES"/>
              </w:rPr>
            </w:pPr>
            <w:proofErr w:type="spellStart"/>
            <w:r>
              <w:rPr>
                <w:sz w:val="22"/>
                <w:szCs w:val="22"/>
                <w:lang w:val="es-ES"/>
              </w:rPr>
              <w:t>Gonzálo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 Gutiérrez Tobal</w:t>
            </w:r>
          </w:p>
        </w:tc>
      </w:tr>
      <w:tr w:rsidR="00191454" w:rsidRPr="00351774" w14:paraId="558C1512" w14:textId="77777777" w:rsidTr="00A558A0">
        <w:trPr>
          <w:trHeight w:val="77"/>
        </w:trPr>
        <w:tc>
          <w:tcPr>
            <w:tcW w:w="1838" w:type="dxa"/>
            <w:tcBorders>
              <w:right w:val="nil"/>
            </w:tcBorders>
            <w:vAlign w:val="center"/>
          </w:tcPr>
          <w:p w14:paraId="4BEE6501" w14:textId="5D26EB4E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389404B6" w:rsidR="00351774" w:rsidRPr="00FA540A" w:rsidRDefault="00046305" w:rsidP="00F30D75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Daniel Álvarez Fernández</w:t>
            </w:r>
          </w:p>
        </w:tc>
      </w:tr>
    </w:tbl>
    <w:p w14:paraId="4A9BC853" w14:textId="1EB7A9FE" w:rsidR="00C4564E" w:rsidRPr="00790395" w:rsidRDefault="00C4564E" w:rsidP="00394C26">
      <w:pPr>
        <w:jc w:val="both"/>
        <w:rPr>
          <w:sz w:val="20"/>
          <w:szCs w:val="20"/>
          <w:lang w:val="es-ES"/>
        </w:rPr>
      </w:pPr>
    </w:p>
    <w:sectPr w:rsidR="00C4564E" w:rsidRPr="00790395" w:rsidSect="00BD03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89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2A490" w14:textId="77777777" w:rsidR="00E67581" w:rsidRDefault="00E67581" w:rsidP="001A5F33">
      <w:r>
        <w:separator/>
      </w:r>
    </w:p>
  </w:endnote>
  <w:endnote w:type="continuationSeparator" w:id="0">
    <w:p w14:paraId="783CD4E9" w14:textId="77777777" w:rsidR="00E67581" w:rsidRDefault="00E67581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FD6F4" w14:textId="77777777" w:rsidR="00E67581" w:rsidRDefault="00E67581" w:rsidP="001A5F33">
      <w:r>
        <w:separator/>
      </w:r>
    </w:p>
  </w:footnote>
  <w:footnote w:type="continuationSeparator" w:id="0">
    <w:p w14:paraId="11EA7454" w14:textId="77777777" w:rsidR="00E67581" w:rsidRDefault="00E67581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450788882">
    <w:abstractNumId w:val="1"/>
  </w:num>
  <w:num w:numId="2" w16cid:durableId="1884901776">
    <w:abstractNumId w:val="0"/>
  </w:num>
  <w:num w:numId="3" w16cid:durableId="10426359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051A5"/>
    <w:rsid w:val="00046305"/>
    <w:rsid w:val="00076085"/>
    <w:rsid w:val="00080733"/>
    <w:rsid w:val="00094E5F"/>
    <w:rsid w:val="000A41E6"/>
    <w:rsid w:val="000A443E"/>
    <w:rsid w:val="000B6D68"/>
    <w:rsid w:val="000D5488"/>
    <w:rsid w:val="000D5E8A"/>
    <w:rsid w:val="000E02C4"/>
    <w:rsid w:val="000E73C5"/>
    <w:rsid w:val="001322D4"/>
    <w:rsid w:val="00144349"/>
    <w:rsid w:val="001533A1"/>
    <w:rsid w:val="001645A4"/>
    <w:rsid w:val="0017543C"/>
    <w:rsid w:val="00191454"/>
    <w:rsid w:val="001A5F33"/>
    <w:rsid w:val="001A7B42"/>
    <w:rsid w:val="001D1771"/>
    <w:rsid w:val="001E52AB"/>
    <w:rsid w:val="00206C6E"/>
    <w:rsid w:val="002075AB"/>
    <w:rsid w:val="00214FEC"/>
    <w:rsid w:val="00217E6D"/>
    <w:rsid w:val="002555E5"/>
    <w:rsid w:val="002637AE"/>
    <w:rsid w:val="0027449F"/>
    <w:rsid w:val="00276F67"/>
    <w:rsid w:val="00294459"/>
    <w:rsid w:val="00306D6E"/>
    <w:rsid w:val="003167BA"/>
    <w:rsid w:val="00335E29"/>
    <w:rsid w:val="00336F52"/>
    <w:rsid w:val="00351774"/>
    <w:rsid w:val="00367E59"/>
    <w:rsid w:val="00376EF6"/>
    <w:rsid w:val="00394C26"/>
    <w:rsid w:val="003A2734"/>
    <w:rsid w:val="003A2CA9"/>
    <w:rsid w:val="003B153F"/>
    <w:rsid w:val="003B3ADF"/>
    <w:rsid w:val="003C6830"/>
    <w:rsid w:val="003D4826"/>
    <w:rsid w:val="003D7453"/>
    <w:rsid w:val="003E5239"/>
    <w:rsid w:val="00400C29"/>
    <w:rsid w:val="004054AD"/>
    <w:rsid w:val="00437017"/>
    <w:rsid w:val="004D3B66"/>
    <w:rsid w:val="004D4CF7"/>
    <w:rsid w:val="004E1399"/>
    <w:rsid w:val="004F2A16"/>
    <w:rsid w:val="004F5A97"/>
    <w:rsid w:val="00512C3F"/>
    <w:rsid w:val="00532743"/>
    <w:rsid w:val="005428E9"/>
    <w:rsid w:val="005549A2"/>
    <w:rsid w:val="00582512"/>
    <w:rsid w:val="005B420F"/>
    <w:rsid w:val="005B78B3"/>
    <w:rsid w:val="005C7FD4"/>
    <w:rsid w:val="00602293"/>
    <w:rsid w:val="00605235"/>
    <w:rsid w:val="00622B54"/>
    <w:rsid w:val="0063063D"/>
    <w:rsid w:val="0063749D"/>
    <w:rsid w:val="00671857"/>
    <w:rsid w:val="00672F3F"/>
    <w:rsid w:val="006778C3"/>
    <w:rsid w:val="00694064"/>
    <w:rsid w:val="006D0B88"/>
    <w:rsid w:val="006E25E4"/>
    <w:rsid w:val="006E6962"/>
    <w:rsid w:val="006F6080"/>
    <w:rsid w:val="006F7F76"/>
    <w:rsid w:val="0070027B"/>
    <w:rsid w:val="00720EC7"/>
    <w:rsid w:val="007347ED"/>
    <w:rsid w:val="0073575C"/>
    <w:rsid w:val="00746A7B"/>
    <w:rsid w:val="007517BE"/>
    <w:rsid w:val="00752EAA"/>
    <w:rsid w:val="0078482E"/>
    <w:rsid w:val="00790395"/>
    <w:rsid w:val="007B012B"/>
    <w:rsid w:val="007B03D3"/>
    <w:rsid w:val="007D7D0E"/>
    <w:rsid w:val="007F5224"/>
    <w:rsid w:val="0080541A"/>
    <w:rsid w:val="00806D12"/>
    <w:rsid w:val="00863BDA"/>
    <w:rsid w:val="00882784"/>
    <w:rsid w:val="0088310B"/>
    <w:rsid w:val="008C27DE"/>
    <w:rsid w:val="008D2EBF"/>
    <w:rsid w:val="008E1FFB"/>
    <w:rsid w:val="008F4FEB"/>
    <w:rsid w:val="00907F6B"/>
    <w:rsid w:val="00914DB2"/>
    <w:rsid w:val="0093461C"/>
    <w:rsid w:val="00942B31"/>
    <w:rsid w:val="009571E0"/>
    <w:rsid w:val="00987153"/>
    <w:rsid w:val="00993BF8"/>
    <w:rsid w:val="00A20D63"/>
    <w:rsid w:val="00A46799"/>
    <w:rsid w:val="00A558A0"/>
    <w:rsid w:val="00B21F52"/>
    <w:rsid w:val="00B22BF2"/>
    <w:rsid w:val="00B324C1"/>
    <w:rsid w:val="00B47BED"/>
    <w:rsid w:val="00BA0607"/>
    <w:rsid w:val="00BA4D2E"/>
    <w:rsid w:val="00BC326D"/>
    <w:rsid w:val="00BD03D7"/>
    <w:rsid w:val="00C242E6"/>
    <w:rsid w:val="00C401F9"/>
    <w:rsid w:val="00C4564E"/>
    <w:rsid w:val="00C5264D"/>
    <w:rsid w:val="00C66BF8"/>
    <w:rsid w:val="00C81BDD"/>
    <w:rsid w:val="00C83BAF"/>
    <w:rsid w:val="00C84B27"/>
    <w:rsid w:val="00C92E7A"/>
    <w:rsid w:val="00CA17D5"/>
    <w:rsid w:val="00CB29E9"/>
    <w:rsid w:val="00CD0B09"/>
    <w:rsid w:val="00D13E36"/>
    <w:rsid w:val="00D16731"/>
    <w:rsid w:val="00D30516"/>
    <w:rsid w:val="00D477AD"/>
    <w:rsid w:val="00D52567"/>
    <w:rsid w:val="00D52CE1"/>
    <w:rsid w:val="00D707D2"/>
    <w:rsid w:val="00DB3AB1"/>
    <w:rsid w:val="00DB7FAB"/>
    <w:rsid w:val="00DD4DAA"/>
    <w:rsid w:val="00DD524B"/>
    <w:rsid w:val="00DE2C3F"/>
    <w:rsid w:val="00DF69E5"/>
    <w:rsid w:val="00E65D6E"/>
    <w:rsid w:val="00E67581"/>
    <w:rsid w:val="00E70E19"/>
    <w:rsid w:val="00EB65E7"/>
    <w:rsid w:val="00EC2D41"/>
    <w:rsid w:val="00EC43FB"/>
    <w:rsid w:val="00F046BE"/>
    <w:rsid w:val="00F149D4"/>
    <w:rsid w:val="00F20B38"/>
    <w:rsid w:val="00F21D0D"/>
    <w:rsid w:val="00F30D75"/>
    <w:rsid w:val="00F46B7D"/>
    <w:rsid w:val="00F90E1F"/>
    <w:rsid w:val="00FA540A"/>
    <w:rsid w:val="00FB6B76"/>
    <w:rsid w:val="00FB714C"/>
    <w:rsid w:val="00FB72E5"/>
    <w:rsid w:val="00FC7EB7"/>
    <w:rsid w:val="00FE21E5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5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1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11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58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90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3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5F712-3C4B-46EE-8BDD-BB0113A3A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447</Words>
  <Characters>2463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JAVIER GOMEZ PILAR</cp:lastModifiedBy>
  <cp:revision>3</cp:revision>
  <cp:lastPrinted>2022-06-16T18:10:00Z</cp:lastPrinted>
  <dcterms:created xsi:type="dcterms:W3CDTF">2025-09-03T14:00:00Z</dcterms:created>
  <dcterms:modified xsi:type="dcterms:W3CDTF">2025-09-03T14:00:00Z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26cdae800d35cdbf146a690c0a3a9883ef9b5e0e5f7e5daeea256f6376fa4c67</vt:lpwstr>
  </property>
</Properties>
</file>