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AE48B" w14:textId="7C169037" w:rsidR="0063749D" w:rsidRPr="00532743" w:rsidRDefault="00C5264D" w:rsidP="001A5F33">
      <w:pPr>
        <w:jc w:val="center"/>
        <w:rPr>
          <w:b/>
          <w:bCs/>
          <w:sz w:val="28"/>
          <w:szCs w:val="28"/>
          <w:lang w:val="es-ES"/>
        </w:rPr>
      </w:pPr>
      <w:r w:rsidRPr="00532743">
        <w:rPr>
          <w:b/>
          <w:bCs/>
          <w:sz w:val="28"/>
          <w:szCs w:val="28"/>
          <w:lang w:val="es-ES"/>
        </w:rPr>
        <w:t>Propuesta de Trabajo de Fin de Grado</w:t>
      </w:r>
    </w:p>
    <w:p w14:paraId="75A40EB1" w14:textId="31D49D54" w:rsidR="001A5F33" w:rsidRDefault="001A5F33">
      <w:pPr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2689"/>
        <w:gridCol w:w="6945"/>
      </w:tblGrid>
      <w:tr w:rsidR="00191454" w:rsidRPr="00FF3587" w14:paraId="1713DEC4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5B02D78B" w14:textId="383C1C58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Datos del 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:rsidRPr="00FF3587" w14:paraId="3E74CEF6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3283A4D1" w14:textId="4E258795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Título: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7F56C29C" w14:textId="3942E9E5" w:rsidR="00532743" w:rsidRPr="00532743" w:rsidRDefault="00CB0958" w:rsidP="00D1132D">
            <w:pPr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Desarrollo e implementación de un microscopio de fluorescencia de bajo coste para actividades docentes</w:t>
            </w:r>
          </w:p>
        </w:tc>
      </w:tr>
      <w:tr w:rsidR="00191454" w:rsidRPr="00CB0958" w14:paraId="33AEB1BD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2234899D" w14:textId="019755E9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Tutor</w:t>
            </w:r>
            <w:r w:rsidR="00B2391D">
              <w:rPr>
                <w:b/>
                <w:bCs/>
                <w:sz w:val="22"/>
                <w:szCs w:val="22"/>
                <w:lang w:val="es-ES"/>
              </w:rPr>
              <w:t>es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46A96180" w14:textId="5D19FA19" w:rsidR="00532743" w:rsidRDefault="00CB0958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José Manuel González de la Fuente</w:t>
            </w:r>
          </w:p>
          <w:p w14:paraId="54900222" w14:textId="58173AEB" w:rsidR="00961CB0" w:rsidRPr="00532743" w:rsidRDefault="00CB0958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María Herrero Tudela</w:t>
            </w:r>
          </w:p>
        </w:tc>
      </w:tr>
      <w:tr w:rsidR="00191454" w:rsidRPr="00FF3587" w14:paraId="7B8F0F8F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4FE55BE7" w14:textId="2912B264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Departamento: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3664462B" w14:textId="7620D2B1" w:rsidR="00CB0958" w:rsidRDefault="00CB0958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Tecnología Electrónica</w:t>
            </w:r>
          </w:p>
          <w:p w14:paraId="2D038842" w14:textId="0E3C3259" w:rsidR="00961CB0" w:rsidRPr="00532743" w:rsidRDefault="00961CB0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Teoría de la Señal y Comunicaciones e Ingeniería Telemática</w:t>
            </w:r>
          </w:p>
        </w:tc>
      </w:tr>
      <w:tr w:rsidR="00191454" w:rsidRPr="00FF3587" w14:paraId="39411455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3A54DB02" w14:textId="1D3DBABF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Resumen (máx. 150 palabras):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211DDEFC" w14:textId="2C530E5C" w:rsidR="00CB0958" w:rsidRPr="00CB0958" w:rsidRDefault="00CB0958" w:rsidP="00CB0958">
            <w:pPr>
              <w:jc w:val="both"/>
              <w:rPr>
                <w:sz w:val="22"/>
                <w:szCs w:val="22"/>
                <w:lang w:val="es-ES"/>
              </w:rPr>
            </w:pPr>
            <w:r w:rsidRPr="00CB0958">
              <w:rPr>
                <w:sz w:val="22"/>
                <w:szCs w:val="22"/>
                <w:lang w:val="es-ES"/>
              </w:rPr>
              <w:t>La microscopía de fluorescencia es una herramienta importante en biomedicina, pero el alto costo y la complejidad de los equipos comerciales limitan su accesibilidad en muchos laboratorios. Este trabajo propone el diseño y desarrollo de un microscopio de fluorescencia</w:t>
            </w:r>
            <w:r w:rsidR="0055585E">
              <w:rPr>
                <w:sz w:val="22"/>
                <w:szCs w:val="22"/>
                <w:lang w:val="es-ES"/>
              </w:rPr>
              <w:t xml:space="preserve"> </w:t>
            </w:r>
            <w:r w:rsidRPr="00CB0958">
              <w:rPr>
                <w:sz w:val="22"/>
                <w:szCs w:val="22"/>
                <w:lang w:val="es-ES"/>
              </w:rPr>
              <w:t>de alta resolución, basado en componentes de bajo costo y herramientas de código abierto, combinados con electrónica y software integrados. El sistema permite la obtención de imágenes de alta calidad en muestras fijas y vivas.</w:t>
            </w:r>
          </w:p>
          <w:p w14:paraId="6462B184" w14:textId="48F571D8" w:rsidR="00CB0958" w:rsidRPr="00CB0958" w:rsidRDefault="00CB0958" w:rsidP="00CB0958">
            <w:pPr>
              <w:jc w:val="both"/>
              <w:rPr>
                <w:sz w:val="22"/>
                <w:szCs w:val="22"/>
                <w:lang w:val="es-ES"/>
              </w:rPr>
            </w:pPr>
            <w:r w:rsidRPr="00CB0958">
              <w:rPr>
                <w:sz w:val="22"/>
                <w:szCs w:val="22"/>
                <w:lang w:val="es-ES"/>
              </w:rPr>
              <w:t>El microscopio propuesto alcanza una sensibilidad y ofrece un rendimiento comparable a sistemas comerciales, pero a una fracción de su costo. Este enfoque no solo facilita el acceso a tecnologías avanzadas de imagen para laboratorios con recursos limitados, sino que también sirve como una herramienta educativa para estudiantes. De hecho</w:t>
            </w:r>
            <w:r>
              <w:rPr>
                <w:sz w:val="22"/>
                <w:szCs w:val="22"/>
                <w:lang w:val="es-ES"/>
              </w:rPr>
              <w:t>,</w:t>
            </w:r>
            <w:r w:rsidRPr="00CB0958">
              <w:rPr>
                <w:sz w:val="22"/>
                <w:szCs w:val="22"/>
                <w:lang w:val="es-ES"/>
              </w:rPr>
              <w:t xml:space="preserve"> uno de los objetivos es instalar este tipo de microscopio en laboratorios de prácticas, fundamentalmente</w:t>
            </w:r>
            <w:r w:rsidRPr="00CB0958">
              <w:rPr>
                <w:rFonts w:ascii="Calibri" w:hAnsi="Calibri" w:cs="Calibri"/>
                <w:color w:val="242424"/>
                <w:sz w:val="22"/>
                <w:szCs w:val="22"/>
                <w:lang w:val="es-ES"/>
              </w:rPr>
              <w:t xml:space="preserve"> para los grados de Biomedicina y de Ingeniería </w:t>
            </w:r>
            <w:r>
              <w:rPr>
                <w:rFonts w:ascii="Calibri" w:hAnsi="Calibri" w:cs="Calibri"/>
                <w:color w:val="242424"/>
                <w:sz w:val="22"/>
                <w:szCs w:val="22"/>
                <w:lang w:val="es-ES"/>
              </w:rPr>
              <w:t>B</w:t>
            </w:r>
            <w:r w:rsidRPr="00CB0958">
              <w:rPr>
                <w:rFonts w:ascii="Calibri" w:hAnsi="Calibri" w:cs="Calibri"/>
                <w:color w:val="242424"/>
                <w:sz w:val="22"/>
                <w:szCs w:val="22"/>
                <w:lang w:val="es-ES"/>
              </w:rPr>
              <w:t>iomédica</w:t>
            </w:r>
          </w:p>
        </w:tc>
      </w:tr>
      <w:tr w:rsidR="00191454" w:rsidRPr="00FF3587" w14:paraId="568B6061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1B8B8612" w14:textId="77777777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Palabras clave: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52A31C8E" w14:textId="5AF0E5F4" w:rsidR="004F5A97" w:rsidRPr="00532743" w:rsidRDefault="00CB0958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Microscopia de fluorescencia, bajo coste, docencia</w:t>
            </w:r>
          </w:p>
        </w:tc>
      </w:tr>
      <w:tr w:rsidR="00191454" w:rsidRPr="000E73C5" w14:paraId="3AC08E72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21FE42D4" w14:textId="41A8F7E1" w:rsidR="00532743" w:rsidRPr="004F5A97" w:rsidRDefault="004F5A97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Competencias del Título que el TFG desarrolla más profundamente (máx. 4)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7BA2EB2E" w14:textId="77777777" w:rsid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  <w:p w14:paraId="4034BC5A" w14:textId="2FB33169" w:rsidR="00191454" w:rsidRDefault="004444C4" w:rsidP="004F5A97">
            <w:pPr>
              <w:rPr>
                <w:sz w:val="22"/>
                <w:szCs w:val="22"/>
                <w:lang w:val="es-ES"/>
              </w:rPr>
            </w:pPr>
            <w:r w:rsidRPr="004444C4">
              <w:rPr>
                <w:sz w:val="22"/>
                <w:szCs w:val="22"/>
                <w:lang w:val="es-ES"/>
              </w:rPr>
              <w:t>CB3, CT4, CE28, CE32</w:t>
            </w:r>
          </w:p>
          <w:p w14:paraId="32567B2F" w14:textId="07B1847F" w:rsidR="00191454" w:rsidRPr="00532743" w:rsidRDefault="00191454" w:rsidP="004F5A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:rsidRPr="00FF3587" w14:paraId="78AA7326" w14:textId="77777777" w:rsidTr="00191454">
        <w:tc>
          <w:tcPr>
            <w:tcW w:w="9634" w:type="dxa"/>
            <w:gridSpan w:val="2"/>
            <w:vAlign w:val="center"/>
          </w:tcPr>
          <w:p w14:paraId="1E91F12D" w14:textId="77777777" w:rsidR="00532743" w:rsidRPr="004F5A97" w:rsidRDefault="00532743" w:rsidP="004F5A97">
            <w:pPr>
              <w:rPr>
                <w:sz w:val="12"/>
                <w:szCs w:val="12"/>
                <w:lang w:val="es-ES"/>
              </w:rPr>
            </w:pPr>
          </w:p>
          <w:p w14:paraId="66B36FBA" w14:textId="67AE7CC4" w:rsidR="00532743" w:rsidRPr="00394C26" w:rsidRDefault="004F5A97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394C26">
              <w:rPr>
                <w:b/>
                <w:bCs/>
                <w:sz w:val="22"/>
                <w:szCs w:val="22"/>
                <w:lang w:val="es-ES"/>
              </w:rPr>
              <w:t>…………</w:t>
            </w:r>
            <w:proofErr w:type="gramStart"/>
            <w:r w:rsidR="00365C8A" w:rsidRPr="00394C26">
              <w:rPr>
                <w:rFonts w:ascii="Wingdings" w:hAnsi="Wingdings" w:cs="Wingdings"/>
                <w:b/>
                <w:bCs/>
                <w:color w:val="000000" w:themeColor="text1"/>
              </w:rPr>
              <w:t></w:t>
            </w:r>
            <w:r w:rsidR="00532743" w:rsidRPr="00394C26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  </w:t>
            </w:r>
            <w:r w:rsidR="00532743" w:rsidRPr="00394C26">
              <w:rPr>
                <w:b/>
                <w:bCs/>
                <w:sz w:val="22"/>
                <w:szCs w:val="22"/>
                <w:lang w:val="es-ES"/>
              </w:rPr>
              <w:t>Asociado</w:t>
            </w:r>
            <w:proofErr w:type="gramEnd"/>
            <w:r w:rsidR="00532743" w:rsidRPr="00394C26">
              <w:rPr>
                <w:b/>
                <w:bCs/>
                <w:sz w:val="22"/>
                <w:szCs w:val="22"/>
                <w:lang w:val="es-ES"/>
              </w:rPr>
              <w:t xml:space="preserve"> a Prácticas Externas</w:t>
            </w:r>
          </w:p>
          <w:p w14:paraId="3C15AAB3" w14:textId="365077C5" w:rsidR="00394C26" w:rsidRDefault="00394C26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                       Nombre del estudiante preasignado</w:t>
            </w:r>
            <w:r w:rsidR="00F20B38">
              <w:rPr>
                <w:sz w:val="22"/>
                <w:szCs w:val="22"/>
                <w:lang w:val="es-ES"/>
              </w:rPr>
              <w:t xml:space="preserve"> (si procede)</w:t>
            </w:r>
            <w:r>
              <w:rPr>
                <w:sz w:val="22"/>
                <w:szCs w:val="22"/>
                <w:lang w:val="es-ES"/>
              </w:rPr>
              <w:t>:</w:t>
            </w:r>
          </w:p>
          <w:p w14:paraId="2A5E247C" w14:textId="365B46AF" w:rsidR="004F5A97" w:rsidRPr="00532743" w:rsidRDefault="004F5A97" w:rsidP="004F5A97">
            <w:pPr>
              <w:rPr>
                <w:sz w:val="22"/>
                <w:szCs w:val="22"/>
                <w:lang w:val="es-ES"/>
              </w:rPr>
            </w:pPr>
          </w:p>
        </w:tc>
      </w:tr>
    </w:tbl>
    <w:p w14:paraId="37C01218" w14:textId="77777777" w:rsidR="00191454" w:rsidRDefault="00191454" w:rsidP="00532743">
      <w:pPr>
        <w:jc w:val="both"/>
        <w:rPr>
          <w:lang w:val="es-ES"/>
        </w:rPr>
      </w:pPr>
    </w:p>
    <w:p w14:paraId="52F0FDEA" w14:textId="77777777" w:rsidR="004F5A97" w:rsidRDefault="004F5A97" w:rsidP="004F5A97">
      <w:pPr>
        <w:jc w:val="both"/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1838"/>
        <w:gridCol w:w="7796"/>
      </w:tblGrid>
      <w:tr w:rsidR="00191454" w:rsidRPr="00FF3587" w14:paraId="4F3678F3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679B631F" w14:textId="5DBC4CD6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Propuesta de Tribunal</w:t>
            </w:r>
            <w:r w:rsidR="00394C26">
              <w:rPr>
                <w:b/>
                <w:bCs/>
                <w:sz w:val="22"/>
                <w:szCs w:val="22"/>
                <w:lang w:val="es-ES"/>
              </w:rPr>
              <w:t xml:space="preserve"> del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:rsidRPr="00FF3587" w14:paraId="65F915EF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77CAE734" w14:textId="648C1C17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Presidente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39B4BE66" w14:textId="758E39E0" w:rsidR="004F5A97" w:rsidRPr="00532743" w:rsidRDefault="00CB0958" w:rsidP="00704714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José Manuel González de la Fuente</w:t>
            </w:r>
          </w:p>
        </w:tc>
      </w:tr>
      <w:tr w:rsidR="00191454" w:rsidRPr="00704714" w14:paraId="1A5DFC4D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1FCB6B96" w14:textId="26BC9BA6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Secretario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2A51ACC6" w14:textId="7850D329" w:rsidR="004F5A97" w:rsidRPr="00532743" w:rsidRDefault="006A5290" w:rsidP="00704714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María García </w:t>
            </w:r>
            <w:proofErr w:type="spellStart"/>
            <w:r>
              <w:rPr>
                <w:sz w:val="22"/>
                <w:szCs w:val="22"/>
                <w:lang w:val="es-ES"/>
              </w:rPr>
              <w:t>Gadañón</w:t>
            </w:r>
            <w:proofErr w:type="spellEnd"/>
          </w:p>
        </w:tc>
      </w:tr>
      <w:tr w:rsidR="004A4119" w:rsidRPr="00FF3587" w14:paraId="290C9998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22A4DDAE" w14:textId="02C47B8C" w:rsidR="004A4119" w:rsidRPr="004F5A97" w:rsidRDefault="004A4119" w:rsidP="004A4119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Vocal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0C014DA6" w14:textId="35B25B11" w:rsidR="004A4119" w:rsidRPr="00532743" w:rsidRDefault="00CB0958" w:rsidP="00704714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Miguel </w:t>
            </w:r>
            <w:proofErr w:type="spellStart"/>
            <w:r w:rsidR="00FF3587">
              <w:rPr>
                <w:sz w:val="22"/>
                <w:szCs w:val="22"/>
                <w:lang w:val="es-ES"/>
              </w:rPr>
              <w:t>A</w:t>
            </w:r>
            <w:r>
              <w:rPr>
                <w:sz w:val="22"/>
                <w:szCs w:val="22"/>
                <w:lang w:val="es-ES"/>
              </w:rPr>
              <w:t>ngel</w:t>
            </w:r>
            <w:proofErr w:type="spellEnd"/>
            <w:r>
              <w:rPr>
                <w:sz w:val="22"/>
                <w:szCs w:val="22"/>
                <w:lang w:val="es-ES"/>
              </w:rPr>
              <w:t xml:space="preserve"> de la Fuente Rodríguez</w:t>
            </w:r>
          </w:p>
        </w:tc>
      </w:tr>
      <w:tr w:rsidR="004A4119" w14:paraId="2A2E43DE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636D3036" w14:textId="5C3BD544" w:rsidR="004A4119" w:rsidRPr="004F5A97" w:rsidRDefault="004A4119" w:rsidP="004A4119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1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097A0C15" w14:textId="09D68563" w:rsidR="004A4119" w:rsidRPr="00532743" w:rsidRDefault="00CB0958" w:rsidP="00704714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Jesús Poza Crespo</w:t>
            </w:r>
          </w:p>
        </w:tc>
      </w:tr>
      <w:tr w:rsidR="00191454" w14:paraId="558C1512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4BEE6501" w14:textId="096152E5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2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13A5AA89" w14:textId="567CAB6D" w:rsidR="00394C26" w:rsidRPr="00532743" w:rsidRDefault="00E92F32" w:rsidP="00704714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María </w:t>
            </w:r>
            <w:r w:rsidR="006A5290">
              <w:rPr>
                <w:sz w:val="22"/>
                <w:szCs w:val="22"/>
                <w:lang w:val="es-ES"/>
              </w:rPr>
              <w:t>Cristina Pérez Barreiro</w:t>
            </w:r>
          </w:p>
        </w:tc>
      </w:tr>
    </w:tbl>
    <w:p w14:paraId="4A9BC853" w14:textId="317B9D2F" w:rsidR="00C4564E" w:rsidRPr="00790395" w:rsidRDefault="00394C26" w:rsidP="00394C26">
      <w:pPr>
        <w:jc w:val="both"/>
        <w:rPr>
          <w:sz w:val="20"/>
          <w:szCs w:val="20"/>
          <w:lang w:val="es-ES"/>
        </w:rPr>
      </w:pPr>
      <w:r w:rsidRPr="00790395">
        <w:rPr>
          <w:sz w:val="20"/>
          <w:szCs w:val="20"/>
          <w:lang w:val="es-ES"/>
        </w:rPr>
        <w:t xml:space="preserve">El tutor sí puede formar parte del </w:t>
      </w:r>
      <w:r w:rsidR="007B012B" w:rsidRPr="00790395">
        <w:rPr>
          <w:sz w:val="20"/>
          <w:szCs w:val="20"/>
          <w:lang w:val="es-ES"/>
        </w:rPr>
        <w:t>t</w:t>
      </w:r>
      <w:r w:rsidRPr="00790395">
        <w:rPr>
          <w:sz w:val="20"/>
          <w:szCs w:val="20"/>
          <w:lang w:val="es-ES"/>
        </w:rPr>
        <w:t>ribunal del TFG</w:t>
      </w:r>
    </w:p>
    <w:sectPr w:rsidR="00C4564E" w:rsidRPr="00790395" w:rsidSect="004F5A9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957" w:right="1127" w:bottom="1417" w:left="1134" w:header="20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7EBBC" w14:textId="77777777" w:rsidR="00EE6CCD" w:rsidRDefault="00EE6CCD" w:rsidP="001A5F33">
      <w:r>
        <w:separator/>
      </w:r>
    </w:p>
  </w:endnote>
  <w:endnote w:type="continuationSeparator" w:id="0">
    <w:p w14:paraId="21ED04A3" w14:textId="77777777" w:rsidR="00EE6CCD" w:rsidRDefault="00EE6CCD" w:rsidP="001A5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830CB" w14:textId="77777777" w:rsidR="007B03D3" w:rsidRDefault="007B03D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B73F7" w14:textId="756CA710" w:rsidR="00532743" w:rsidRDefault="00532743">
    <w:pPr>
      <w:pStyle w:val="Piedepgina"/>
      <w:rPr>
        <w:lang w:val="es-ES"/>
      </w:rPr>
    </w:pPr>
    <w:r>
      <w:rPr>
        <w:lang w:val="es-ES"/>
      </w:rPr>
      <w:t>SR. COORDINADOR DEL GRADO EN INGENIERÍA BIOMÉDICA</w:t>
    </w:r>
  </w:p>
  <w:p w14:paraId="64521655" w14:textId="69506CE6" w:rsidR="00394C26" w:rsidRPr="00191454" w:rsidRDefault="00394C26" w:rsidP="000D5E8A">
    <w:pPr>
      <w:pStyle w:val="Piedepgina"/>
      <w:rPr>
        <w:sz w:val="18"/>
        <w:szCs w:val="18"/>
        <w:lang w:val="es-ES"/>
      </w:rPr>
    </w:pPr>
    <w:r w:rsidRPr="00191454">
      <w:rPr>
        <w:sz w:val="18"/>
        <w:szCs w:val="18"/>
        <w:lang w:val="es-ES"/>
      </w:rPr>
      <w:t>Debe remitirse</w:t>
    </w:r>
    <w:r w:rsidR="00C66BF8">
      <w:rPr>
        <w:sz w:val="18"/>
        <w:szCs w:val="18"/>
        <w:lang w:val="es-ES"/>
      </w:rPr>
      <w:t xml:space="preserve"> </w:t>
    </w:r>
    <w:r w:rsidR="000E73C5">
      <w:rPr>
        <w:sz w:val="18"/>
        <w:szCs w:val="18"/>
        <w:lang w:val="es-ES"/>
      </w:rPr>
      <w:t>al Coordinador del Grado</w:t>
    </w:r>
    <w:r w:rsidR="00C66BF8">
      <w:rPr>
        <w:sz w:val="18"/>
        <w:szCs w:val="18"/>
        <w:lang w:val="es-ES"/>
      </w:rPr>
      <w:t xml:space="preserve"> </w:t>
    </w:r>
    <w:r w:rsidR="000D5E8A">
      <w:rPr>
        <w:sz w:val="18"/>
        <w:szCs w:val="18"/>
        <w:lang w:val="es-ES"/>
      </w:rPr>
      <w:t>(</w:t>
    </w:r>
    <w:r w:rsidR="00000000">
      <w:fldChar w:fldCharType="begin"/>
    </w:r>
    <w:r w:rsidR="00000000" w:rsidRPr="00FF3587">
      <w:rPr>
        <w:lang w:val="es-ES"/>
      </w:rPr>
      <w:instrText>HYPERLINK "mailto:grado.ing.biomedica@uva.es"</w:instrText>
    </w:r>
    <w:r w:rsidR="00000000">
      <w:fldChar w:fldCharType="separate"/>
    </w:r>
    <w:r w:rsidR="000D5E8A" w:rsidRPr="00F5452F">
      <w:rPr>
        <w:rStyle w:val="Hipervnculo"/>
        <w:rFonts w:cstheme="minorBidi"/>
        <w:sz w:val="18"/>
        <w:szCs w:val="18"/>
        <w:lang w:val="es-ES"/>
      </w:rPr>
      <w:t>grado.ing.biomedica@uva.es</w:t>
    </w:r>
    <w:r w:rsidR="00000000">
      <w:rPr>
        <w:rStyle w:val="Hipervnculo"/>
        <w:rFonts w:cstheme="minorBidi"/>
        <w:sz w:val="18"/>
        <w:szCs w:val="18"/>
        <w:lang w:val="es-ES"/>
      </w:rPr>
      <w:fldChar w:fldCharType="end"/>
    </w:r>
    <w:r w:rsidR="000D5E8A">
      <w:rPr>
        <w:sz w:val="18"/>
        <w:szCs w:val="18"/>
        <w:lang w:val="es-ES"/>
      </w:rPr>
      <w:t>)</w:t>
    </w:r>
    <w:r w:rsidR="00191454" w:rsidRPr="00191454">
      <w:rPr>
        <w:sz w:val="18"/>
        <w:szCs w:val="18"/>
        <w:lang w:val="es-ES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5F6DA" w14:textId="77777777" w:rsidR="007B03D3" w:rsidRDefault="007B03D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23C19" w14:textId="77777777" w:rsidR="00EE6CCD" w:rsidRDefault="00EE6CCD" w:rsidP="001A5F33">
      <w:r>
        <w:separator/>
      </w:r>
    </w:p>
  </w:footnote>
  <w:footnote w:type="continuationSeparator" w:id="0">
    <w:p w14:paraId="0B51F468" w14:textId="77777777" w:rsidR="00EE6CCD" w:rsidRDefault="00EE6CCD" w:rsidP="001A5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2E754" w14:textId="77777777" w:rsidR="007B03D3" w:rsidRDefault="007B03D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9D4C6" w14:textId="28425B53" w:rsidR="00FC7EB7" w:rsidRDefault="00FC7EB7" w:rsidP="00FC7EB7">
    <w:pPr>
      <w:jc w:val="center"/>
      <w:rPr>
        <w:noProof/>
      </w:rPr>
    </w:pPr>
    <w:r w:rsidRPr="00FC7EB7">
      <w:rPr>
        <w:noProof/>
      </w:rPr>
      <w:t xml:space="preserve"> </w:t>
    </w: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237"/>
      <w:gridCol w:w="3402"/>
    </w:tblGrid>
    <w:tr w:rsidR="00FC7EB7" w14:paraId="692802CF" w14:textId="77777777" w:rsidTr="004F5A97">
      <w:tc>
        <w:tcPr>
          <w:tcW w:w="6237" w:type="dxa"/>
        </w:tcPr>
        <w:p w14:paraId="4E7DB40F" w14:textId="27E44BB6" w:rsidR="00FC7EB7" w:rsidRDefault="00FC7EB7" w:rsidP="00FC7EB7">
          <w:pPr>
            <w:rPr>
              <w:noProof/>
            </w:rPr>
          </w:pP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begin"/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instrText xml:space="preserve"> INCLUDEPICTURE "https://www.patrimonioyterritorio.com/wp-content/uploads/2016/10/logo-uva.jpg" \* MERGEFORMATINET </w:instrText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separate"/>
          </w:r>
          <w:r w:rsidRPr="001A5F33">
            <w:rPr>
              <w:rFonts w:ascii="Times New Roman" w:eastAsia="Times New Roman" w:hAnsi="Times New Roman" w:cs="Times New Roman"/>
              <w:noProof/>
              <w:lang w:val="es-ES" w:eastAsia="es-ES_tradnl"/>
            </w:rPr>
            <w:drawing>
              <wp:inline distT="0" distB="0" distL="0" distR="0" wp14:anchorId="7C3954EA" wp14:editId="3E7B8001">
                <wp:extent cx="2027197" cy="1344706"/>
                <wp:effectExtent l="0" t="0" r="5080" b="1905"/>
                <wp:docPr id="1" name="Imagen 1" descr="logo-uva - Proyecto Patrimonio y Territor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uva - Proyecto Patrimonio y Territor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6556" cy="13907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end"/>
          </w:r>
        </w:p>
      </w:tc>
      <w:tc>
        <w:tcPr>
          <w:tcW w:w="3402" w:type="dxa"/>
        </w:tcPr>
        <w:p w14:paraId="0FDCB280" w14:textId="00901B23" w:rsidR="00FC7EB7" w:rsidRDefault="00FC7EB7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336DCB02" w14:textId="1611D589" w:rsidR="0017543C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4539A486" w14:textId="77777777" w:rsidR="0017543C" w:rsidRPr="00FC7EB7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0CF2BB9F" w14:textId="5FAD2120" w:rsidR="00FC7EB7" w:rsidRDefault="00FC7EB7" w:rsidP="00FC7EB7">
          <w:pPr>
            <w:jc w:val="center"/>
            <w:rPr>
              <w:b/>
              <w:bCs/>
              <w:lang w:val="es-ES"/>
            </w:rPr>
          </w:pPr>
          <w:r w:rsidRPr="00FC7EB7">
            <w:rPr>
              <w:rFonts w:ascii="Times New Roman" w:eastAsia="Times New Roman" w:hAnsi="Times New Roman" w:cs="Times New Roman"/>
              <w:noProof/>
              <w:lang w:eastAsia="es-ES_tradnl"/>
            </w:rPr>
            <w:drawing>
              <wp:inline distT="0" distB="0" distL="0" distR="0" wp14:anchorId="371FB87D" wp14:editId="7A5F7559">
                <wp:extent cx="742279" cy="729842"/>
                <wp:effectExtent l="0" t="0" r="0" b="0"/>
                <wp:docPr id="2" name="Imagen 1" descr="Logotipo&#10;&#10;Descripción generada automáticamente con confianza media">
                  <a:extLst xmlns:a="http://schemas.openxmlformats.org/drawingml/2006/main">
                    <a:ext uri="{FF2B5EF4-FFF2-40B4-BE49-F238E27FC236}">
                      <a16:creationId xmlns:a16="http://schemas.microsoft.com/office/drawing/2014/main" id="{8F51B929-015A-7D47-AE60-37A10D48C673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1" descr="Logotipo&#10;&#10;Descripción generada automáticamente con confianza media">
                          <a:extLst>
                            <a:ext uri="{FF2B5EF4-FFF2-40B4-BE49-F238E27FC236}">
                              <a16:creationId xmlns:a16="http://schemas.microsoft.com/office/drawing/2014/main" id="{8F51B929-015A-7D47-AE60-37A10D48C673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1455"/>
                        <a:stretch/>
                      </pic:blipFill>
                      <pic:spPr>
                        <a:xfrm>
                          <a:off x="0" y="0"/>
                          <a:ext cx="746806" cy="73429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83C65FE" w14:textId="77777777" w:rsidR="00FC7EB7" w:rsidRPr="0017543C" w:rsidRDefault="00FC7EB7" w:rsidP="00FC7EB7">
          <w:pPr>
            <w:jc w:val="center"/>
            <w:rPr>
              <w:b/>
              <w:bCs/>
              <w:sz w:val="12"/>
              <w:szCs w:val="12"/>
              <w:lang w:val="es-ES"/>
            </w:rPr>
          </w:pPr>
        </w:p>
        <w:p w14:paraId="477185D4" w14:textId="57147E41" w:rsidR="00FC7EB7" w:rsidRDefault="00FC7EB7" w:rsidP="00FC7EB7">
          <w:pPr>
            <w:jc w:val="center"/>
            <w:rPr>
              <w:noProof/>
            </w:rPr>
          </w:pPr>
          <w:r>
            <w:rPr>
              <w:b/>
              <w:bCs/>
              <w:lang w:val="es-ES"/>
            </w:rPr>
            <w:t xml:space="preserve">Grado </w:t>
          </w:r>
          <w:r w:rsidRPr="0017543C">
            <w:rPr>
              <w:lang w:val="es-ES"/>
            </w:rPr>
            <w:t>en</w:t>
          </w:r>
          <w:r>
            <w:rPr>
              <w:b/>
              <w:bCs/>
              <w:lang w:val="es-ES"/>
            </w:rPr>
            <w:t xml:space="preserve"> Ingeniería Biomédica</w:t>
          </w:r>
        </w:p>
      </w:tc>
    </w:tr>
  </w:tbl>
  <w:p w14:paraId="5EEB4251" w14:textId="5A33C45B" w:rsidR="001A5F33" w:rsidRDefault="001A5F33" w:rsidP="00FC7EB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877E5" w14:textId="77777777" w:rsidR="007B03D3" w:rsidRDefault="007B03D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3D457A"/>
    <w:multiLevelType w:val="hybridMultilevel"/>
    <w:tmpl w:val="961A0F64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FB4401"/>
    <w:multiLevelType w:val="hybridMultilevel"/>
    <w:tmpl w:val="284C5516"/>
    <w:lvl w:ilvl="0" w:tplc="040A0017">
      <w:start w:val="1"/>
      <w:numFmt w:val="lowerLetter"/>
      <w:lvlText w:val="%1)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83175F"/>
    <w:multiLevelType w:val="hybridMultilevel"/>
    <w:tmpl w:val="7F1A7096"/>
    <w:lvl w:ilvl="0" w:tplc="040A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num w:numId="1" w16cid:durableId="246039373">
    <w:abstractNumId w:val="1"/>
  </w:num>
  <w:num w:numId="2" w16cid:durableId="1917780364">
    <w:abstractNumId w:val="0"/>
  </w:num>
  <w:num w:numId="3" w16cid:durableId="9566396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oNotDisplayPageBoundaries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F33"/>
    <w:rsid w:val="00007372"/>
    <w:rsid w:val="00011041"/>
    <w:rsid w:val="00080733"/>
    <w:rsid w:val="00086050"/>
    <w:rsid w:val="00094E5F"/>
    <w:rsid w:val="000A41E6"/>
    <w:rsid w:val="000A443E"/>
    <w:rsid w:val="000D5488"/>
    <w:rsid w:val="000D5E8A"/>
    <w:rsid w:val="000E02C4"/>
    <w:rsid w:val="000E73C5"/>
    <w:rsid w:val="001322D4"/>
    <w:rsid w:val="00144349"/>
    <w:rsid w:val="001532C6"/>
    <w:rsid w:val="0017543C"/>
    <w:rsid w:val="00191454"/>
    <w:rsid w:val="001A5F33"/>
    <w:rsid w:val="001E52AB"/>
    <w:rsid w:val="002075AB"/>
    <w:rsid w:val="002211D9"/>
    <w:rsid w:val="002272E5"/>
    <w:rsid w:val="002555E5"/>
    <w:rsid w:val="00272F48"/>
    <w:rsid w:val="0027449F"/>
    <w:rsid w:val="0027520F"/>
    <w:rsid w:val="002B6292"/>
    <w:rsid w:val="00306D6E"/>
    <w:rsid w:val="0031502F"/>
    <w:rsid w:val="003167BA"/>
    <w:rsid w:val="00331BA6"/>
    <w:rsid w:val="00365C8A"/>
    <w:rsid w:val="003722E3"/>
    <w:rsid w:val="00377A9E"/>
    <w:rsid w:val="00386F4B"/>
    <w:rsid w:val="00394C26"/>
    <w:rsid w:val="003A2734"/>
    <w:rsid w:val="003B3ADF"/>
    <w:rsid w:val="00400C29"/>
    <w:rsid w:val="00442F4F"/>
    <w:rsid w:val="004444C4"/>
    <w:rsid w:val="004A4119"/>
    <w:rsid w:val="004D5A3B"/>
    <w:rsid w:val="004F5A97"/>
    <w:rsid w:val="0051073F"/>
    <w:rsid w:val="00512C3F"/>
    <w:rsid w:val="0051764C"/>
    <w:rsid w:val="00532743"/>
    <w:rsid w:val="005428E9"/>
    <w:rsid w:val="005549A2"/>
    <w:rsid w:val="0055585E"/>
    <w:rsid w:val="00587463"/>
    <w:rsid w:val="005B420F"/>
    <w:rsid w:val="005C6E90"/>
    <w:rsid w:val="005D7AF5"/>
    <w:rsid w:val="005F3417"/>
    <w:rsid w:val="006171E0"/>
    <w:rsid w:val="00622B54"/>
    <w:rsid w:val="0063749D"/>
    <w:rsid w:val="00671857"/>
    <w:rsid w:val="00672F3F"/>
    <w:rsid w:val="006A5290"/>
    <w:rsid w:val="006F74C4"/>
    <w:rsid w:val="00704714"/>
    <w:rsid w:val="007268B4"/>
    <w:rsid w:val="007343C7"/>
    <w:rsid w:val="0073575C"/>
    <w:rsid w:val="00746A7B"/>
    <w:rsid w:val="00790395"/>
    <w:rsid w:val="00796BA8"/>
    <w:rsid w:val="007B012B"/>
    <w:rsid w:val="007B03D3"/>
    <w:rsid w:val="007D56AC"/>
    <w:rsid w:val="007D7D0E"/>
    <w:rsid w:val="007F5224"/>
    <w:rsid w:val="00801172"/>
    <w:rsid w:val="0080541A"/>
    <w:rsid w:val="008237C7"/>
    <w:rsid w:val="008567C8"/>
    <w:rsid w:val="00863BDA"/>
    <w:rsid w:val="0086586C"/>
    <w:rsid w:val="00890CF8"/>
    <w:rsid w:val="008B0E2E"/>
    <w:rsid w:val="008D2EBF"/>
    <w:rsid w:val="008F4FEB"/>
    <w:rsid w:val="00907F6B"/>
    <w:rsid w:val="009175C9"/>
    <w:rsid w:val="009214F7"/>
    <w:rsid w:val="00930F00"/>
    <w:rsid w:val="00931AF6"/>
    <w:rsid w:val="009571E0"/>
    <w:rsid w:val="00961CB0"/>
    <w:rsid w:val="009730E7"/>
    <w:rsid w:val="00987153"/>
    <w:rsid w:val="009D48B8"/>
    <w:rsid w:val="00A14628"/>
    <w:rsid w:val="00A20D63"/>
    <w:rsid w:val="00B2391D"/>
    <w:rsid w:val="00B47BED"/>
    <w:rsid w:val="00BA0607"/>
    <w:rsid w:val="00BC326D"/>
    <w:rsid w:val="00C200B3"/>
    <w:rsid w:val="00C4564E"/>
    <w:rsid w:val="00C5264D"/>
    <w:rsid w:val="00C66BF8"/>
    <w:rsid w:val="00C74FB6"/>
    <w:rsid w:val="00C92E7A"/>
    <w:rsid w:val="00CA17D5"/>
    <w:rsid w:val="00CA4C4B"/>
    <w:rsid w:val="00CB0958"/>
    <w:rsid w:val="00CB2FBA"/>
    <w:rsid w:val="00CF45E0"/>
    <w:rsid w:val="00D1132D"/>
    <w:rsid w:val="00D13E36"/>
    <w:rsid w:val="00D16731"/>
    <w:rsid w:val="00D52CE1"/>
    <w:rsid w:val="00D707D2"/>
    <w:rsid w:val="00D846F6"/>
    <w:rsid w:val="00DF69E5"/>
    <w:rsid w:val="00E51AB0"/>
    <w:rsid w:val="00E72349"/>
    <w:rsid w:val="00E92F32"/>
    <w:rsid w:val="00EA4914"/>
    <w:rsid w:val="00EC68A9"/>
    <w:rsid w:val="00EE6CCD"/>
    <w:rsid w:val="00F046BE"/>
    <w:rsid w:val="00F20B38"/>
    <w:rsid w:val="00F21D0D"/>
    <w:rsid w:val="00F67DDC"/>
    <w:rsid w:val="00FB6B76"/>
    <w:rsid w:val="00FC14CB"/>
    <w:rsid w:val="00FC7EB7"/>
    <w:rsid w:val="00FE1561"/>
    <w:rsid w:val="00FF3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C7F03"/>
  <w15:chartTrackingRefBased/>
  <w15:docId w15:val="{E108808E-45DF-1A4A-A5FF-64CD63812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A5F33"/>
    <w:rPr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A5F33"/>
    <w:rPr>
      <w:lang w:val="en-GB"/>
    </w:rPr>
  </w:style>
  <w:style w:type="paragraph" w:styleId="Prrafodelista">
    <w:name w:val="List Paragraph"/>
    <w:basedOn w:val="Normal"/>
    <w:uiPriority w:val="34"/>
    <w:qFormat/>
    <w:rsid w:val="00C4564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672F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72F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72F3F"/>
    <w:rPr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72F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72F3F"/>
    <w:rPr>
      <w:b/>
      <w:bCs/>
      <w:sz w:val="20"/>
      <w:szCs w:val="20"/>
      <w:lang w:val="en-GB"/>
    </w:rPr>
  </w:style>
  <w:style w:type="paragraph" w:customStyle="1" w:styleId="Default">
    <w:name w:val="Default"/>
    <w:rsid w:val="0073575C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</w:rPr>
  </w:style>
  <w:style w:type="table" w:styleId="Tablaconcuadrcula">
    <w:name w:val="Table Grid"/>
    <w:basedOn w:val="Tablanormal"/>
    <w:uiPriority w:val="39"/>
    <w:rsid w:val="00FC7E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094E5F"/>
    <w:rPr>
      <w:rFonts w:cs="Times New Roman"/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94E5F"/>
    <w:rPr>
      <w:color w:val="954F72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D5E8A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CB0958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ES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3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2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4D58E0875341B48AE5677DA9965E716" ma:contentTypeVersion="12" ma:contentTypeDescription="Crear nuevo documento." ma:contentTypeScope="" ma:versionID="ce8d5d40f3eaecf5778031670b9d500b">
  <xsd:schema xmlns:xsd="http://www.w3.org/2001/XMLSchema" xmlns:xs="http://www.w3.org/2001/XMLSchema" xmlns:p="http://schemas.microsoft.com/office/2006/metadata/properties" xmlns:ns3="92811d12-ec04-410d-bd72-b4eefcefef25" targetNamespace="http://schemas.microsoft.com/office/2006/metadata/properties" ma:root="true" ma:fieldsID="5561eeb1a7d0c6217d51693840824561" ns3:_="">
    <xsd:import namespace="92811d12-ec04-410d-bd72-b4eefcefef2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811d12-ec04-410d-bd72-b4eefcefef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ystemTags" ma:index="18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DBA84AE-6148-420C-A8C0-92F72B919D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A02335-68AF-404D-AEFE-5FF4F1768D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2811d12-ec04-410d-bd72-b4eefcefef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F648D6-2E0A-4451-8975-3BFAEBCF117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779170B-5D72-4A36-80E4-69E19FDBDEC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300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Jesús Poza</dc:creator>
  <cp:keywords/>
  <dc:description/>
  <cp:lastModifiedBy>Jesús Poza</cp:lastModifiedBy>
  <cp:revision>45</cp:revision>
  <cp:lastPrinted>2022-06-16T18:10:00Z</cp:lastPrinted>
  <dcterms:created xsi:type="dcterms:W3CDTF">2024-10-14T17:01:00Z</dcterms:created>
  <dcterms:modified xsi:type="dcterms:W3CDTF">2025-02-06T15:24:00Z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0x010100E4D58E0875341B48AE5677DA9965E716</vt:lpwstr>
  </property>
</Properties>
</file>