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QUTaulaambquadrcula1"/>
        <w:tblW w:w="6429" w:type="dxa"/>
        <w:jc w:val="center"/>
        <w:tblLook w:val="04A0" w:firstRow="1" w:lastRow="0" w:firstColumn="1" w:lastColumn="0" w:noHBand="0" w:noVBand="1"/>
      </w:tblPr>
      <w:tblGrid>
        <w:gridCol w:w="6990"/>
      </w:tblGrid>
      <w:tr w:rsidR="008C67D5" w:rsidRPr="00837AFA" w14:paraId="1CA9A4B2" w14:textId="77777777" w:rsidTr="00E9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0EC452D0" w14:textId="77777777" w:rsidR="008C67D5" w:rsidRPr="00837AFA" w:rsidRDefault="008C67D5" w:rsidP="00E93BE5">
            <w:pPr>
              <w:rPr>
                <w:rFonts w:ascii="Franklin Gothic Book" w:hAnsi="Franklin Gothic Book" w:cs="Arial"/>
                <w:b/>
                <w:bCs/>
                <w:color w:val="auto"/>
                <w:szCs w:val="18"/>
              </w:rPr>
            </w:pPr>
            <w:proofErr w:type="spellStart"/>
            <w:r w:rsidRPr="00837AFA">
              <w:rPr>
                <w:rFonts w:ascii="Franklin Gothic Book" w:hAnsi="Franklin Gothic Book" w:cs="Arial"/>
                <w:b/>
                <w:bCs/>
                <w:color w:val="auto"/>
                <w:szCs w:val="18"/>
              </w:rPr>
              <w:t>Cuatrimestre</w:t>
            </w:r>
            <w:proofErr w:type="spellEnd"/>
            <w:r w:rsidRPr="00837AFA">
              <w:rPr>
                <w:rFonts w:ascii="Franklin Gothic Book" w:hAnsi="Franklin Gothic Book" w:cs="Arial"/>
                <w:b/>
                <w:bCs/>
                <w:color w:val="auto"/>
                <w:szCs w:val="18"/>
              </w:rPr>
              <w:t xml:space="preserve"> 1</w:t>
            </w:r>
          </w:p>
        </w:tc>
      </w:tr>
      <w:tr w:rsidR="008C67D5" w:rsidRPr="00837AFA" w14:paraId="5E6FB047" w14:textId="77777777" w:rsidTr="00E9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331FFDCF" w14:textId="77777777" w:rsidR="008C67D5" w:rsidRPr="00837AFA" w:rsidRDefault="008C67D5" w:rsidP="00E93BE5">
            <w:pPr>
              <w:rPr>
                <w:rFonts w:ascii="Franklin Gothic Book" w:hAnsi="Franklin Gothic Book" w:cs="Arial"/>
                <w:color w:val="auto"/>
                <w:szCs w:val="18"/>
                <w:lang w:val="es-ES"/>
              </w:rPr>
            </w:pPr>
            <w:r w:rsidRPr="00837AFA">
              <w:rPr>
                <w:rFonts w:ascii="Franklin Gothic Book" w:hAnsi="Franklin Gothic Book" w:cs="Arial"/>
                <w:color w:val="auto"/>
                <w:szCs w:val="18"/>
                <w:lang w:val="es-ES"/>
              </w:rPr>
              <w:t xml:space="preserve">ECTS: </w:t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30"/>
                  </w:textInput>
                </w:ffData>
              </w:fldChar>
            </w:r>
            <w:bookmarkStart w:id="0" w:name="Texto17"/>
            <w:r w:rsidRPr="00837AFA">
              <w:rPr>
                <w:rFonts w:ascii="Franklin Gothic Book" w:hAnsi="Franklin Gothic Book" w:cs="Arial"/>
                <w:color w:val="auto"/>
                <w:szCs w:val="18"/>
                <w:lang w:val="es-ES"/>
              </w:rPr>
              <w:instrText xml:space="preserve"> FORMTEXT </w:instrText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  <w:fldChar w:fldCharType="separate"/>
            </w:r>
            <w:r w:rsidRPr="00837AFA">
              <w:rPr>
                <w:rFonts w:ascii="Franklin Gothic Book" w:hAnsi="Franklin Gothic Book" w:cs="Arial"/>
                <w:noProof/>
                <w:color w:val="auto"/>
                <w:szCs w:val="18"/>
                <w:lang w:val="es-ES"/>
              </w:rPr>
              <w:t>30</w:t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  <w:fldChar w:fldCharType="end"/>
            </w:r>
            <w:bookmarkEnd w:id="0"/>
          </w:p>
          <w:tbl>
            <w:tblPr>
              <w:tblStyle w:val="Tablaconcuadrcula"/>
              <w:tblW w:w="5798" w:type="dxa"/>
              <w:tblLook w:val="04A0" w:firstRow="1" w:lastRow="0" w:firstColumn="1" w:lastColumn="0" w:noHBand="0" w:noVBand="1"/>
            </w:tblPr>
            <w:tblGrid>
              <w:gridCol w:w="1300"/>
              <w:gridCol w:w="1399"/>
              <w:gridCol w:w="1541"/>
              <w:gridCol w:w="609"/>
              <w:gridCol w:w="895"/>
              <w:gridCol w:w="1020"/>
            </w:tblGrid>
            <w:tr w:rsidR="008C67D5" w:rsidRPr="00837AFA" w14:paraId="215A7262" w14:textId="77777777" w:rsidTr="00E93BE5">
              <w:trPr>
                <w:trHeight w:val="471"/>
              </w:trPr>
              <w:tc>
                <w:tcPr>
                  <w:tcW w:w="1249" w:type="dxa"/>
                </w:tcPr>
                <w:p w14:paraId="6D58AA11" w14:textId="77777777" w:rsidR="008C67D5" w:rsidRPr="00837AFA" w:rsidRDefault="008C67D5" w:rsidP="00E93BE5">
                  <w:pPr>
                    <w:spacing w:before="120" w:after="120" w:line="240" w:lineRule="atLeast"/>
                    <w:ind w:left="431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Áreas</w:t>
                  </w:r>
                </w:p>
              </w:tc>
              <w:tc>
                <w:tcPr>
                  <w:tcW w:w="711" w:type="dxa"/>
                </w:tcPr>
                <w:p w14:paraId="7D812D08" w14:textId="77777777" w:rsidR="008C67D5" w:rsidRPr="00837AFA" w:rsidRDefault="008C67D5" w:rsidP="00E93BE5">
                  <w:pPr>
                    <w:spacing w:before="120" w:after="120" w:line="240" w:lineRule="atLeast"/>
                    <w:ind w:left="431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Materias</w:t>
                  </w:r>
                </w:p>
              </w:tc>
              <w:tc>
                <w:tcPr>
                  <w:tcW w:w="1461" w:type="dxa"/>
                </w:tcPr>
                <w:p w14:paraId="5FA98A9C" w14:textId="77777777" w:rsidR="008C67D5" w:rsidRPr="00837AFA" w:rsidRDefault="008C67D5" w:rsidP="00E93BE5">
                  <w:pPr>
                    <w:spacing w:before="120" w:after="120" w:line="240" w:lineRule="atLeast"/>
                    <w:ind w:left="431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Asignaturas</w:t>
                  </w:r>
                </w:p>
              </w:tc>
              <w:tc>
                <w:tcPr>
                  <w:tcW w:w="596" w:type="dxa"/>
                </w:tcPr>
                <w:p w14:paraId="06376282" w14:textId="77777777" w:rsidR="008C67D5" w:rsidRPr="00837AFA" w:rsidRDefault="008C67D5" w:rsidP="00E93BE5">
                  <w:pPr>
                    <w:spacing w:before="120" w:after="120" w:line="240" w:lineRule="atLeast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ECTS</w:t>
                  </w:r>
                </w:p>
              </w:tc>
              <w:tc>
                <w:tcPr>
                  <w:tcW w:w="841" w:type="dxa"/>
                </w:tcPr>
                <w:p w14:paraId="15CAD4EB" w14:textId="77777777" w:rsidR="008C67D5" w:rsidRPr="00837AFA" w:rsidRDefault="008C67D5" w:rsidP="00E93BE5">
                  <w:pPr>
                    <w:spacing w:before="120" w:after="120" w:line="240" w:lineRule="atLeast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Tipología</w:t>
                  </w:r>
                </w:p>
              </w:tc>
              <w:tc>
                <w:tcPr>
                  <w:tcW w:w="940" w:type="dxa"/>
                </w:tcPr>
                <w:p w14:paraId="2156FDFC" w14:textId="77777777" w:rsidR="008C67D5" w:rsidRPr="00837AFA" w:rsidRDefault="008C67D5" w:rsidP="00E93BE5">
                  <w:pPr>
                    <w:spacing w:before="120" w:after="120" w:line="240" w:lineRule="atLeast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Modalidad</w:t>
                  </w:r>
                </w:p>
              </w:tc>
            </w:tr>
            <w:tr w:rsidR="008C67D5" w:rsidRPr="00837AFA" w14:paraId="433B5979" w14:textId="77777777" w:rsidTr="00E93BE5">
              <w:trPr>
                <w:trHeight w:val="176"/>
              </w:trPr>
              <w:tc>
                <w:tcPr>
                  <w:tcW w:w="1249" w:type="dxa"/>
                  <w:vMerge w:val="restart"/>
                </w:tcPr>
                <w:p w14:paraId="25E2D82B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0A8BB6CD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2CF08D66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236D3B01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307D4AA3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51A52EA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NUTRICION DEL LABORATORIO A LA CLINICA</w:t>
                  </w:r>
                </w:p>
              </w:tc>
              <w:tc>
                <w:tcPr>
                  <w:tcW w:w="711" w:type="dxa"/>
                  <w:vMerge w:val="restart"/>
                </w:tcPr>
                <w:p w14:paraId="48FC660F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15E424AB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6C5F7814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  <w:t>Bioactividad de los alimentos y su evaluación in vitro</w:t>
                  </w:r>
                </w:p>
              </w:tc>
              <w:tc>
                <w:tcPr>
                  <w:tcW w:w="1461" w:type="dxa"/>
                </w:tcPr>
                <w:p w14:paraId="258E8DCE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Nutrición molecular y metabolismo funcional</w:t>
                  </w:r>
                </w:p>
              </w:tc>
              <w:tc>
                <w:tcPr>
                  <w:tcW w:w="596" w:type="dxa"/>
                </w:tcPr>
                <w:p w14:paraId="68E2D91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41" w:type="dxa"/>
                </w:tcPr>
                <w:p w14:paraId="61AF75F0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940" w:type="dxa"/>
                </w:tcPr>
                <w:p w14:paraId="234C5A92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3D0D97C8" w14:textId="77777777" w:rsidTr="00E93BE5">
              <w:trPr>
                <w:trHeight w:val="176"/>
              </w:trPr>
              <w:tc>
                <w:tcPr>
                  <w:tcW w:w="1249" w:type="dxa"/>
                  <w:vMerge/>
                </w:tcPr>
                <w:p w14:paraId="56E446E8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</w:tcPr>
                <w:p w14:paraId="0E8104DB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</w:tcPr>
                <w:p w14:paraId="06A3FF7B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bookmarkStart w:id="1" w:name="_Hlk176175564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Biomarcadores y exploración de principios bioactivos</w:t>
                  </w:r>
                  <w:bookmarkEnd w:id="1"/>
                </w:p>
              </w:tc>
              <w:tc>
                <w:tcPr>
                  <w:tcW w:w="596" w:type="dxa"/>
                </w:tcPr>
                <w:p w14:paraId="5C8CD4D1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41" w:type="dxa"/>
                </w:tcPr>
                <w:p w14:paraId="21CD4C8A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940" w:type="dxa"/>
                </w:tcPr>
                <w:p w14:paraId="5BFE1236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50CA1F53" w14:textId="77777777" w:rsidTr="00E93BE5">
              <w:trPr>
                <w:trHeight w:val="176"/>
              </w:trPr>
              <w:tc>
                <w:tcPr>
                  <w:tcW w:w="1249" w:type="dxa"/>
                  <w:vMerge/>
                </w:tcPr>
                <w:p w14:paraId="4D84984A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</w:tcPr>
                <w:p w14:paraId="72D33768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2C017988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  <w:t>Metodología de la investigación en nutrición y nuevas tecnologías</w:t>
                  </w:r>
                </w:p>
              </w:tc>
              <w:tc>
                <w:tcPr>
                  <w:tcW w:w="1461" w:type="dxa"/>
                </w:tcPr>
                <w:p w14:paraId="4FA02DD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Metodología de la investigación en nutrición</w:t>
                  </w:r>
                </w:p>
              </w:tc>
              <w:tc>
                <w:tcPr>
                  <w:tcW w:w="596" w:type="dxa"/>
                </w:tcPr>
                <w:p w14:paraId="4F0BB6B2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1" w:type="dxa"/>
                </w:tcPr>
                <w:p w14:paraId="0F6CB4D7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940" w:type="dxa"/>
                </w:tcPr>
                <w:p w14:paraId="58625E57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763B86DF" w14:textId="77777777" w:rsidTr="00E93BE5">
              <w:trPr>
                <w:trHeight w:val="176"/>
              </w:trPr>
              <w:tc>
                <w:tcPr>
                  <w:tcW w:w="1249" w:type="dxa"/>
                  <w:vMerge/>
                </w:tcPr>
                <w:p w14:paraId="75208652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</w:tcPr>
                <w:p w14:paraId="7BCDE974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</w:tcPr>
                <w:p w14:paraId="2581F61D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Aplicaciones TIC e inteligencia artificial en nutrición</w:t>
                  </w:r>
                </w:p>
              </w:tc>
              <w:tc>
                <w:tcPr>
                  <w:tcW w:w="596" w:type="dxa"/>
                </w:tcPr>
                <w:p w14:paraId="05CB6A77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41" w:type="dxa"/>
                </w:tcPr>
                <w:p w14:paraId="67C005F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940" w:type="dxa"/>
                </w:tcPr>
                <w:p w14:paraId="4CB27B93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08136C62" w14:textId="77777777" w:rsidTr="00E93BE5">
              <w:trPr>
                <w:trHeight w:val="162"/>
              </w:trPr>
              <w:tc>
                <w:tcPr>
                  <w:tcW w:w="1249" w:type="dxa"/>
                  <w:vMerge w:val="restart"/>
                </w:tcPr>
                <w:p w14:paraId="64B21C5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  <w:p w14:paraId="1FF6DF4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  <w:p w14:paraId="5CE13356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  <w:p w14:paraId="467B441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NUTRICION E INNOVACION</w:t>
                  </w:r>
                </w:p>
              </w:tc>
              <w:tc>
                <w:tcPr>
                  <w:tcW w:w="711" w:type="dxa"/>
                  <w:vMerge w:val="restart"/>
                </w:tcPr>
                <w:p w14:paraId="01EFAB4E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628B825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  <w:t>Tecnologías y procesos biotecnológicos en nutrientes y compuestos bioactivos</w:t>
                  </w:r>
                </w:p>
              </w:tc>
              <w:tc>
                <w:tcPr>
                  <w:tcW w:w="1461" w:type="dxa"/>
                </w:tcPr>
                <w:p w14:paraId="1D14F804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Tecnologías para una nutrición de precisión efectiva</w:t>
                  </w:r>
                </w:p>
              </w:tc>
              <w:tc>
                <w:tcPr>
                  <w:tcW w:w="596" w:type="dxa"/>
                </w:tcPr>
                <w:p w14:paraId="487B6DD8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41" w:type="dxa"/>
                </w:tcPr>
                <w:p w14:paraId="4231E0BE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940" w:type="dxa"/>
                </w:tcPr>
                <w:p w14:paraId="0E87BAB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06DCD18F" w14:textId="77777777" w:rsidTr="00E93BE5">
              <w:trPr>
                <w:trHeight w:val="162"/>
              </w:trPr>
              <w:tc>
                <w:tcPr>
                  <w:tcW w:w="1249" w:type="dxa"/>
                  <w:vMerge/>
                </w:tcPr>
                <w:p w14:paraId="6C3193E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</w:tcPr>
                <w:p w14:paraId="4504473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</w:tcPr>
                <w:p w14:paraId="502C95F1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Aliados biotecnológicos en la producción y formulación de compuestos bioactivos</w:t>
                  </w:r>
                </w:p>
              </w:tc>
              <w:tc>
                <w:tcPr>
                  <w:tcW w:w="596" w:type="dxa"/>
                </w:tcPr>
                <w:p w14:paraId="598128A6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41" w:type="dxa"/>
                </w:tcPr>
                <w:p w14:paraId="4B0149F0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940" w:type="dxa"/>
                </w:tcPr>
                <w:p w14:paraId="0B7E49AB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</w:tbl>
          <w:p w14:paraId="60600369" w14:textId="77777777" w:rsidR="008C67D5" w:rsidRPr="00837AFA" w:rsidRDefault="008C67D5" w:rsidP="00E93BE5">
            <w:pPr>
              <w:rPr>
                <w:rFonts w:ascii="Franklin Gothic Book" w:hAnsi="Franklin Gothic Book" w:cs="Arial"/>
                <w:color w:val="auto"/>
                <w:szCs w:val="18"/>
              </w:rPr>
            </w:pPr>
          </w:p>
        </w:tc>
      </w:tr>
      <w:tr w:rsidR="008C67D5" w:rsidRPr="00837AFA" w14:paraId="5E579DEC" w14:textId="77777777" w:rsidTr="00E93BE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7DCA8B86" w14:textId="77777777" w:rsidR="008C67D5" w:rsidRPr="00837AFA" w:rsidRDefault="008C67D5" w:rsidP="00E93BE5">
            <w:pPr>
              <w:rPr>
                <w:rFonts w:ascii="Franklin Gothic Book" w:hAnsi="Franklin Gothic Book" w:cs="Arial"/>
                <w:b/>
                <w:bCs/>
                <w:color w:val="auto"/>
                <w:szCs w:val="18"/>
              </w:rPr>
            </w:pPr>
            <w:proofErr w:type="spellStart"/>
            <w:r w:rsidRPr="00837AFA">
              <w:rPr>
                <w:rFonts w:ascii="Franklin Gothic Book" w:hAnsi="Franklin Gothic Book" w:cs="Arial"/>
                <w:b/>
                <w:bCs/>
                <w:color w:val="auto"/>
                <w:szCs w:val="18"/>
              </w:rPr>
              <w:t>Cuatrimestre</w:t>
            </w:r>
            <w:proofErr w:type="spellEnd"/>
            <w:r w:rsidRPr="00837AFA">
              <w:rPr>
                <w:rFonts w:ascii="Franklin Gothic Book" w:hAnsi="Franklin Gothic Book" w:cs="Arial"/>
                <w:b/>
                <w:bCs/>
                <w:color w:val="auto"/>
                <w:szCs w:val="18"/>
              </w:rPr>
              <w:t xml:space="preserve"> 2</w:t>
            </w:r>
          </w:p>
        </w:tc>
      </w:tr>
      <w:tr w:rsidR="008C67D5" w:rsidRPr="00837AFA" w14:paraId="33C97CE6" w14:textId="77777777" w:rsidTr="00E9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62524584" w14:textId="77777777" w:rsidR="008C67D5" w:rsidRPr="00837AFA" w:rsidRDefault="008C67D5" w:rsidP="00E93BE5">
            <w:pPr>
              <w:rPr>
                <w:rFonts w:ascii="Franklin Gothic Book" w:hAnsi="Franklin Gothic Book" w:cs="Arial"/>
                <w:color w:val="auto"/>
                <w:szCs w:val="18"/>
                <w:lang w:val="es-ES"/>
              </w:rPr>
            </w:pPr>
            <w:r w:rsidRPr="00837AFA">
              <w:rPr>
                <w:rFonts w:ascii="Franklin Gothic Book" w:hAnsi="Franklin Gothic Book" w:cs="Arial"/>
                <w:color w:val="auto"/>
                <w:szCs w:val="18"/>
                <w:lang w:val="es-ES"/>
              </w:rPr>
              <w:t xml:space="preserve">ECTS: </w:t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837AFA">
              <w:rPr>
                <w:rFonts w:ascii="Franklin Gothic Book" w:hAnsi="Franklin Gothic Book" w:cs="Arial"/>
                <w:color w:val="auto"/>
                <w:szCs w:val="18"/>
                <w:lang w:val="es-ES"/>
              </w:rPr>
              <w:instrText xml:space="preserve"> FORMTEXT </w:instrText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  <w:fldChar w:fldCharType="separate"/>
            </w:r>
            <w:r w:rsidRPr="00837AFA">
              <w:rPr>
                <w:rFonts w:ascii="Franklin Gothic Book" w:hAnsi="Franklin Gothic Book" w:cs="Arial"/>
                <w:noProof/>
                <w:color w:val="auto"/>
                <w:szCs w:val="18"/>
                <w:lang w:val="es-ES"/>
              </w:rPr>
              <w:t>30</w:t>
            </w:r>
            <w:r w:rsidRPr="00837AFA">
              <w:rPr>
                <w:rFonts w:ascii="Franklin Gothic Book" w:hAnsi="Franklin Gothic Book" w:cs="Arial"/>
                <w:color w:val="auto"/>
                <w:szCs w:val="18"/>
              </w:rPr>
              <w:fldChar w:fldCharType="end"/>
            </w:r>
          </w:p>
          <w:tbl>
            <w:tblPr>
              <w:tblStyle w:val="Tablaconcuadrcula"/>
              <w:tblW w:w="6703" w:type="dxa"/>
              <w:tblLook w:val="04A0" w:firstRow="1" w:lastRow="0" w:firstColumn="1" w:lastColumn="0" w:noHBand="0" w:noVBand="1"/>
            </w:tblPr>
            <w:tblGrid>
              <w:gridCol w:w="1321"/>
              <w:gridCol w:w="1317"/>
              <w:gridCol w:w="1541"/>
              <w:gridCol w:w="609"/>
              <w:gridCol w:w="895"/>
              <w:gridCol w:w="1020"/>
            </w:tblGrid>
            <w:tr w:rsidR="008C67D5" w:rsidRPr="00837AFA" w14:paraId="696DD547" w14:textId="77777777" w:rsidTr="00E93BE5">
              <w:trPr>
                <w:trHeight w:val="464"/>
              </w:trPr>
              <w:tc>
                <w:tcPr>
                  <w:tcW w:w="1321" w:type="dxa"/>
                </w:tcPr>
                <w:p w14:paraId="0941D08B" w14:textId="77777777" w:rsidR="008C67D5" w:rsidRPr="00837AFA" w:rsidRDefault="008C67D5" w:rsidP="00E93BE5">
                  <w:pPr>
                    <w:spacing w:before="120" w:after="120" w:line="240" w:lineRule="atLeast"/>
                    <w:ind w:left="431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Áreas</w:t>
                  </w:r>
                </w:p>
              </w:tc>
              <w:tc>
                <w:tcPr>
                  <w:tcW w:w="1317" w:type="dxa"/>
                </w:tcPr>
                <w:p w14:paraId="3CEA1413" w14:textId="77777777" w:rsidR="008C67D5" w:rsidRPr="00837AFA" w:rsidRDefault="008C67D5" w:rsidP="00E93BE5">
                  <w:pPr>
                    <w:spacing w:before="120" w:after="120" w:line="240" w:lineRule="atLeast"/>
                    <w:ind w:left="431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Materias</w:t>
                  </w:r>
                </w:p>
              </w:tc>
              <w:tc>
                <w:tcPr>
                  <w:tcW w:w="1541" w:type="dxa"/>
                </w:tcPr>
                <w:p w14:paraId="7B1103DA" w14:textId="77777777" w:rsidR="008C67D5" w:rsidRPr="00837AFA" w:rsidRDefault="008C67D5" w:rsidP="00E93BE5">
                  <w:pPr>
                    <w:spacing w:before="120" w:after="120" w:line="240" w:lineRule="atLeast"/>
                    <w:ind w:left="431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Asignaturas</w:t>
                  </w:r>
                </w:p>
              </w:tc>
              <w:tc>
                <w:tcPr>
                  <w:tcW w:w="609" w:type="dxa"/>
                </w:tcPr>
                <w:p w14:paraId="56CDB210" w14:textId="77777777" w:rsidR="008C67D5" w:rsidRPr="00837AFA" w:rsidRDefault="008C67D5" w:rsidP="00E93BE5">
                  <w:pPr>
                    <w:spacing w:before="120" w:after="120" w:line="240" w:lineRule="atLeast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ECTS</w:t>
                  </w:r>
                </w:p>
              </w:tc>
              <w:tc>
                <w:tcPr>
                  <w:tcW w:w="895" w:type="dxa"/>
                </w:tcPr>
                <w:p w14:paraId="2C34F0FF" w14:textId="77777777" w:rsidR="008C67D5" w:rsidRPr="00837AFA" w:rsidRDefault="008C67D5" w:rsidP="00E93BE5">
                  <w:pPr>
                    <w:spacing w:before="120" w:after="120" w:line="240" w:lineRule="atLeast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Tipología</w:t>
                  </w:r>
                </w:p>
              </w:tc>
              <w:tc>
                <w:tcPr>
                  <w:tcW w:w="1020" w:type="dxa"/>
                </w:tcPr>
                <w:p w14:paraId="060E30AB" w14:textId="77777777" w:rsidR="008C67D5" w:rsidRPr="00837AFA" w:rsidRDefault="008C67D5" w:rsidP="00E93BE5">
                  <w:pPr>
                    <w:spacing w:before="120" w:after="120" w:line="240" w:lineRule="atLeast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Modalidad</w:t>
                  </w:r>
                </w:p>
              </w:tc>
            </w:tr>
            <w:tr w:rsidR="008C67D5" w:rsidRPr="00837AFA" w14:paraId="7133100C" w14:textId="77777777" w:rsidTr="00E93BE5">
              <w:trPr>
                <w:trHeight w:val="173"/>
              </w:trPr>
              <w:tc>
                <w:tcPr>
                  <w:tcW w:w="1321" w:type="dxa"/>
                  <w:vMerge w:val="restart"/>
                </w:tcPr>
                <w:p w14:paraId="359BF7B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3B7BB333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13968572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(</w:t>
                  </w:r>
                  <w:proofErr w:type="spellStart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Continuación</w:t>
                  </w:r>
                  <w:proofErr w:type="spellEnd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)</w:t>
                  </w:r>
                </w:p>
                <w:p w14:paraId="108A18B2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NUTRICION E INNOVACION </w:t>
                  </w:r>
                </w:p>
              </w:tc>
              <w:tc>
                <w:tcPr>
                  <w:tcW w:w="1317" w:type="dxa"/>
                  <w:vMerge w:val="restart"/>
                </w:tcPr>
                <w:p w14:paraId="1CE21392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281596A4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5F40D9CF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  <w:t>Legislación y comunicación de la nutrición de precisión</w:t>
                  </w:r>
                </w:p>
              </w:tc>
              <w:tc>
                <w:tcPr>
                  <w:tcW w:w="1541" w:type="dxa"/>
                </w:tcPr>
                <w:p w14:paraId="55F0B7EF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trike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eastAsia="Arial" w:hAnsi="Franklin Gothic Book" w:cs="Arial"/>
                      <w:iCs/>
                      <w:sz w:val="18"/>
                      <w:szCs w:val="18"/>
                      <w:lang w:val="es-ES"/>
                    </w:rPr>
                    <w:t>Legislación,</w:t>
                  </w:r>
                  <w:r w:rsidRPr="00837AFA">
                    <w:rPr>
                      <w:rFonts w:ascii="Franklin Gothic Book" w:eastAsia="Arial" w:hAnsi="Franklin Gothic Book" w:cs="Arial"/>
                      <w:iCs/>
                      <w:lang w:val="es-ES"/>
                    </w:rPr>
                    <w:t xml:space="preserve"> </w:t>
                  </w:r>
                  <w:r w:rsidRPr="00837AFA">
                    <w:rPr>
                      <w:rFonts w:ascii="Franklin Gothic Book" w:eastAsia="Arial" w:hAnsi="Franklin Gothic Book" w:cs="Arial"/>
                      <w:iCs/>
                      <w:sz w:val="18"/>
                      <w:szCs w:val="18"/>
                      <w:lang w:val="es-ES"/>
                    </w:rPr>
                    <w:t>etiquetado y alegaciones nutricionales en la nutrición de precisión</w:t>
                  </w:r>
                </w:p>
              </w:tc>
              <w:tc>
                <w:tcPr>
                  <w:tcW w:w="609" w:type="dxa"/>
                </w:tcPr>
                <w:p w14:paraId="0ECD2E9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5" w:type="dxa"/>
                </w:tcPr>
                <w:p w14:paraId="7080CD0A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1020" w:type="dxa"/>
                </w:tcPr>
                <w:p w14:paraId="1846DA58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5623011B" w14:textId="77777777" w:rsidTr="00E93BE5">
              <w:trPr>
                <w:trHeight w:val="173"/>
              </w:trPr>
              <w:tc>
                <w:tcPr>
                  <w:tcW w:w="1321" w:type="dxa"/>
                  <w:vMerge/>
                </w:tcPr>
                <w:p w14:paraId="4EFB9166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14:paraId="2405C568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 w14:paraId="0C72E7F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Estrategias de comunicación en la nutrición de precisión</w:t>
                  </w:r>
                </w:p>
              </w:tc>
              <w:tc>
                <w:tcPr>
                  <w:tcW w:w="609" w:type="dxa"/>
                </w:tcPr>
                <w:p w14:paraId="2F39EFF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5" w:type="dxa"/>
                </w:tcPr>
                <w:p w14:paraId="5CB856AF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1020" w:type="dxa"/>
                </w:tcPr>
                <w:p w14:paraId="26E263FF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3EEB026A" w14:textId="77777777" w:rsidTr="00E93BE5">
              <w:trPr>
                <w:trHeight w:val="173"/>
              </w:trPr>
              <w:tc>
                <w:tcPr>
                  <w:tcW w:w="1321" w:type="dxa"/>
                  <w:vMerge w:val="restart"/>
                </w:tcPr>
                <w:p w14:paraId="17EE4FFD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2C7F54F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2BEB0FC0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73C7FCEF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5A3F41E7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47D0161B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</w:p>
                <w:p w14:paraId="14ECE5D3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AVANCES EN NUTRICION Y SALUD</w:t>
                  </w:r>
                </w:p>
              </w:tc>
              <w:tc>
                <w:tcPr>
                  <w:tcW w:w="1317" w:type="dxa"/>
                  <w:vMerge w:val="restart"/>
                </w:tcPr>
                <w:p w14:paraId="5F39853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3CB8D70A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1A1E73BA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1D4A58ED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484231F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  <w:p w14:paraId="2E83E7F0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proofErr w:type="spellStart"/>
                  <w:r w:rsidRPr="00837AFA"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  <w:t>Dietoterapia</w:t>
                  </w:r>
                  <w:proofErr w:type="spellEnd"/>
                  <w:r w:rsidRPr="00837AFA"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 con alimentos funcionales y nutracéuticos y nutrición traslacional</w:t>
                  </w:r>
                </w:p>
              </w:tc>
              <w:tc>
                <w:tcPr>
                  <w:tcW w:w="1541" w:type="dxa"/>
                </w:tcPr>
                <w:p w14:paraId="1565AAC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Dietoterapia</w:t>
                  </w:r>
                  <w:proofErr w:type="spellEnd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 xml:space="preserve"> metabólica y nutrición personalizada</w:t>
                  </w:r>
                </w:p>
              </w:tc>
              <w:tc>
                <w:tcPr>
                  <w:tcW w:w="609" w:type="dxa"/>
                </w:tcPr>
                <w:p w14:paraId="785607F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5" w:type="dxa"/>
                </w:tcPr>
                <w:p w14:paraId="177C368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1020" w:type="dxa"/>
                </w:tcPr>
                <w:p w14:paraId="1344512E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788D6C2F" w14:textId="77777777" w:rsidTr="00E93BE5">
              <w:trPr>
                <w:trHeight w:val="173"/>
              </w:trPr>
              <w:tc>
                <w:tcPr>
                  <w:tcW w:w="1321" w:type="dxa"/>
                  <w:vMerge/>
                </w:tcPr>
                <w:p w14:paraId="58C878E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14:paraId="1DD2C19C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 w14:paraId="395A3E0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Alimentos de precisión, nutracéuticos y suplementos dietéticos en salud</w:t>
                  </w:r>
                </w:p>
              </w:tc>
              <w:tc>
                <w:tcPr>
                  <w:tcW w:w="609" w:type="dxa"/>
                </w:tcPr>
                <w:p w14:paraId="560ABA3B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5" w:type="dxa"/>
                </w:tcPr>
                <w:p w14:paraId="749756E7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1020" w:type="dxa"/>
                </w:tcPr>
                <w:p w14:paraId="6CEDC437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50DC0579" w14:textId="77777777" w:rsidTr="00E93BE5">
              <w:trPr>
                <w:trHeight w:val="173"/>
              </w:trPr>
              <w:tc>
                <w:tcPr>
                  <w:tcW w:w="1321" w:type="dxa"/>
                  <w:vMerge/>
                </w:tcPr>
                <w:p w14:paraId="647C512A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14:paraId="1042AF79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 w14:paraId="6952680E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Nutrición traslacional de precisión y epidemiologia nutricional</w:t>
                  </w:r>
                </w:p>
              </w:tc>
              <w:tc>
                <w:tcPr>
                  <w:tcW w:w="609" w:type="dxa"/>
                </w:tcPr>
                <w:p w14:paraId="196EDCA5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5" w:type="dxa"/>
                </w:tcPr>
                <w:p w14:paraId="4D136D93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1020" w:type="dxa"/>
                </w:tcPr>
                <w:p w14:paraId="7D5F6CC0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  <w:tr w:rsidR="008C67D5" w:rsidRPr="00837AFA" w14:paraId="4EED4F4E" w14:textId="77777777" w:rsidTr="00E93BE5">
              <w:trPr>
                <w:trHeight w:val="1020"/>
              </w:trPr>
              <w:tc>
                <w:tcPr>
                  <w:tcW w:w="1321" w:type="dxa"/>
                </w:tcPr>
                <w:p w14:paraId="23CAD963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  <w:p w14:paraId="38026A0E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</w:p>
                <w:p w14:paraId="4FAB72AD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TFM</w:t>
                  </w:r>
                </w:p>
              </w:tc>
              <w:tc>
                <w:tcPr>
                  <w:tcW w:w="1317" w:type="dxa"/>
                </w:tcPr>
                <w:p w14:paraId="7F5B3DA5" w14:textId="77777777" w:rsidR="008C67D5" w:rsidRPr="00837AFA" w:rsidRDefault="008C67D5" w:rsidP="00E93BE5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 w14:paraId="6A58EB3C" w14:textId="77777777" w:rsidR="008C67D5" w:rsidRPr="00837AFA" w:rsidRDefault="008C67D5" w:rsidP="00E93BE5">
                  <w:pPr>
                    <w:autoSpaceDE w:val="0"/>
                    <w:autoSpaceDN w:val="0"/>
                    <w:adjustRightInd w:val="0"/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 xml:space="preserve">TFM (Nutrición, </w:t>
                  </w:r>
                  <w:proofErr w:type="spellStart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>ómicas</w:t>
                  </w:r>
                  <w:proofErr w:type="spellEnd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  <w:lang w:val="es-ES"/>
                    </w:rPr>
                    <w:t xml:space="preserve"> y tecnológica/</w:t>
                  </w:r>
                </w:p>
                <w:p w14:paraId="70454638" w14:textId="77777777" w:rsidR="008C67D5" w:rsidRPr="00837AFA" w:rsidRDefault="008C67D5" w:rsidP="00E93BE5">
                  <w:pPr>
                    <w:autoSpaceDE w:val="0"/>
                    <w:autoSpaceDN w:val="0"/>
                    <w:adjustRightInd w:val="0"/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proofErr w:type="spellStart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Nutrición</w:t>
                  </w:r>
                  <w:proofErr w:type="spellEnd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 y </w:t>
                  </w:r>
                  <w:proofErr w:type="spellStart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salud</w:t>
                  </w:r>
                  <w:proofErr w:type="spellEnd"/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 Humana)</w:t>
                  </w:r>
                </w:p>
              </w:tc>
              <w:tc>
                <w:tcPr>
                  <w:tcW w:w="609" w:type="dxa"/>
                </w:tcPr>
                <w:p w14:paraId="2CA3C1FD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5" w:type="dxa"/>
                </w:tcPr>
                <w:p w14:paraId="2155D344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OB</w:t>
                  </w:r>
                </w:p>
              </w:tc>
              <w:tc>
                <w:tcPr>
                  <w:tcW w:w="1020" w:type="dxa"/>
                </w:tcPr>
                <w:p w14:paraId="74968EB3" w14:textId="77777777" w:rsidR="008C67D5" w:rsidRPr="00837AFA" w:rsidRDefault="008C67D5" w:rsidP="00E93BE5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837AFA">
                    <w:rPr>
                      <w:rFonts w:ascii="Franklin Gothic Book" w:hAnsi="Franklin Gothic Book" w:cs="Arial"/>
                      <w:sz w:val="18"/>
                      <w:szCs w:val="18"/>
                    </w:rPr>
                    <w:t>Virtual</w:t>
                  </w:r>
                </w:p>
              </w:tc>
            </w:tr>
          </w:tbl>
          <w:p w14:paraId="01083AEE" w14:textId="77777777" w:rsidR="008C67D5" w:rsidRPr="00837AFA" w:rsidRDefault="008C67D5" w:rsidP="00E93BE5">
            <w:pPr>
              <w:rPr>
                <w:rFonts w:ascii="Franklin Gothic Book" w:hAnsi="Franklin Gothic Book" w:cs="Arial"/>
                <w:color w:val="auto"/>
                <w:szCs w:val="18"/>
              </w:rPr>
            </w:pPr>
          </w:p>
        </w:tc>
      </w:tr>
    </w:tbl>
    <w:p w14:paraId="53C9657C" w14:textId="77777777" w:rsidR="008C67D5" w:rsidRPr="00837AFA" w:rsidRDefault="008C67D5" w:rsidP="008C67D5">
      <w:pPr>
        <w:pStyle w:val="Prrafodelista"/>
        <w:ind w:left="644"/>
        <w:rPr>
          <w:rFonts w:ascii="Franklin Gothic Book" w:hAnsi="Franklin Gothic Book" w:cs="Arial"/>
          <w:lang w:eastAsia="es-ES_tradnl"/>
        </w:rPr>
      </w:pPr>
    </w:p>
    <w:p w14:paraId="70473AE5" w14:textId="77777777" w:rsidR="008C67D5" w:rsidRPr="00837AFA" w:rsidRDefault="008C67D5" w:rsidP="008C67D5">
      <w:pPr>
        <w:rPr>
          <w:rFonts w:ascii="Franklin Gothic Book" w:hAnsi="Franklin Gothic Book" w:cs="Arial"/>
          <w:sz w:val="18"/>
          <w:szCs w:val="18"/>
        </w:rPr>
      </w:pPr>
    </w:p>
    <w:p w14:paraId="77AB5A79" w14:textId="77777777" w:rsidR="008C67D5" w:rsidRPr="00837AFA" w:rsidRDefault="008C67D5" w:rsidP="008C67D5"/>
    <w:p w14:paraId="03BADAC2" w14:textId="77777777" w:rsidR="008C67D5" w:rsidRPr="00837AFA" w:rsidRDefault="008C67D5" w:rsidP="008C67D5"/>
    <w:p w14:paraId="3266EF43" w14:textId="77777777" w:rsidR="008C67D5" w:rsidRPr="00837AFA" w:rsidRDefault="008C67D5" w:rsidP="008C67D5"/>
    <w:p w14:paraId="5DB8AD01" w14:textId="77777777" w:rsidR="009333C5" w:rsidRDefault="009333C5"/>
    <w:sectPr w:rsidR="00933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-DIN Exp">
    <w:altName w:val="Arial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D5"/>
    <w:rsid w:val="008C67D5"/>
    <w:rsid w:val="009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DC68"/>
  <w15:chartTrackingRefBased/>
  <w15:docId w15:val="{19D5147C-9BCB-4E02-BEE7-F7FDD06D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D5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C67D5"/>
    <w:pPr>
      <w:spacing w:before="1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s-ES"/>
    </w:rPr>
  </w:style>
  <w:style w:type="table" w:styleId="Tablaconcuadrcula">
    <w:name w:val="Table Grid"/>
    <w:basedOn w:val="Tablanormal"/>
    <w:rsid w:val="008C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QUTaulaambquadrcula1">
    <w:name w:val="AQU Taula amb quadrícula1"/>
    <w:basedOn w:val="Tablanormal"/>
    <w:next w:val="Tablaconcuadrcula"/>
    <w:rsid w:val="008C67D5"/>
    <w:pPr>
      <w:spacing w:before="120" w:after="120" w:line="240" w:lineRule="atLeast"/>
      <w:ind w:left="431"/>
    </w:pPr>
    <w:rPr>
      <w:rFonts w:ascii="Arial" w:eastAsia="Times New Roman" w:hAnsi="Arial" w:cs="Times New Roman"/>
      <w:color w:val="004D73"/>
      <w:sz w:val="18"/>
      <w:szCs w:val="20"/>
      <w:lang w:val="ca-ES" w:eastAsia="ca-ES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D-DIN Exp" w:hAnsi="D-DIN Exp"/>
        <w:color w:val="668793"/>
        <w:sz w:val="18"/>
      </w:rPr>
      <w:tblPr/>
      <w:tcPr>
        <w:tcBorders>
          <w:top w:val="nil"/>
          <w:left w:val="nil"/>
          <w:bottom w:val="single" w:sz="8" w:space="0" w:color="5F497A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5F497A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F2DBDB"/>
      </w:tcPr>
    </w:tblStylePr>
  </w:style>
  <w:style w:type="character" w:customStyle="1" w:styleId="PrrafodelistaCar">
    <w:name w:val="Párrafo de lista Car"/>
    <w:link w:val="Prrafodelista"/>
    <w:uiPriority w:val="34"/>
    <w:rsid w:val="008C67D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Luis Roman, Daniel-Antonio</dc:creator>
  <cp:keywords/>
  <dc:description/>
  <cp:lastModifiedBy>de Luis Roman, Daniel-Antonio</cp:lastModifiedBy>
  <cp:revision>1</cp:revision>
  <dcterms:created xsi:type="dcterms:W3CDTF">2025-04-08T17:10:00Z</dcterms:created>
  <dcterms:modified xsi:type="dcterms:W3CDTF">2025-04-08T17:10:00Z</dcterms:modified>
</cp:coreProperties>
</file>