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980"/>
        <w:gridCol w:w="7654"/>
      </w:tblGrid>
      <w:tr w:rsidR="00191454" w:rsidRPr="006D202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6D2024" w14:paraId="3E74CEF6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7F56C29C" w14:textId="0C8806B0" w:rsidR="00532743" w:rsidRPr="006A7AB2" w:rsidRDefault="005E013D" w:rsidP="006A7AB2">
            <w:pPr>
              <w:jc w:val="both"/>
              <w:rPr>
                <w:lang w:val="es-ES"/>
              </w:rPr>
            </w:pPr>
            <w:r w:rsidRPr="005E013D">
              <w:rPr>
                <w:lang w:val="es-ES"/>
              </w:rPr>
              <w:t>Impacto de la colocación de sensores inerciales en el análisis cinemático del movimiento de las extremidades inferiores</w:t>
            </w:r>
          </w:p>
        </w:tc>
      </w:tr>
      <w:tr w:rsidR="00191454" w:rsidRPr="006D2024" w14:paraId="33AEB1BD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54900222" w14:textId="0006D31D" w:rsidR="00532743" w:rsidRPr="00532743" w:rsidRDefault="006A7AB2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Mario Martínez Zarzuela</w:t>
            </w:r>
            <w:r w:rsidR="00F54347">
              <w:rPr>
                <w:sz w:val="22"/>
                <w:szCs w:val="22"/>
                <w:lang w:val="es-ES"/>
              </w:rPr>
              <w:t xml:space="preserve"> (Uva)</w:t>
            </w:r>
            <w:r>
              <w:rPr>
                <w:sz w:val="22"/>
                <w:szCs w:val="22"/>
                <w:lang w:val="es-ES"/>
              </w:rPr>
              <w:t xml:space="preserve"> y </w:t>
            </w:r>
            <w:proofErr w:type="spellStart"/>
            <w:r>
              <w:rPr>
                <w:sz w:val="22"/>
                <w:szCs w:val="22"/>
                <w:lang w:val="es-ES"/>
              </w:rPr>
              <w:t>Fredrik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s-ES"/>
              </w:rPr>
              <w:t>Öhberg</w:t>
            </w:r>
            <w:proofErr w:type="spellEnd"/>
            <w:r w:rsidR="00F54347">
              <w:rPr>
                <w:sz w:val="22"/>
                <w:szCs w:val="22"/>
                <w:lang w:val="es-ES"/>
              </w:rPr>
              <w:t xml:space="preserve"> (UMU)</w:t>
            </w:r>
          </w:p>
        </w:tc>
      </w:tr>
      <w:tr w:rsidR="00191454" w:rsidRPr="006D2024" w14:paraId="7B8F0F8F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58F7D87D" w14:textId="2B5E90F5" w:rsidR="00532743" w:rsidRPr="003B7949" w:rsidRDefault="006A7AB2" w:rsidP="004F5A97">
            <w:pPr>
              <w:rPr>
                <w:sz w:val="22"/>
                <w:szCs w:val="22"/>
                <w:lang w:val="es-ES"/>
              </w:rPr>
            </w:pPr>
            <w:r w:rsidRPr="003B7949">
              <w:rPr>
                <w:sz w:val="22"/>
                <w:szCs w:val="22"/>
                <w:lang w:val="es-ES"/>
              </w:rPr>
              <w:t>Teoría de la Señal y Comunicaciones e Ingeniería Telemática</w:t>
            </w:r>
            <w:r w:rsidR="00F54347" w:rsidRPr="003B7949">
              <w:rPr>
                <w:sz w:val="22"/>
                <w:szCs w:val="22"/>
                <w:lang w:val="es-ES"/>
              </w:rPr>
              <w:t xml:space="preserve"> (Uva)</w:t>
            </w:r>
          </w:p>
          <w:p w14:paraId="2D038842" w14:textId="4B0B259B" w:rsidR="006A7AB2" w:rsidRPr="003B7949" w:rsidRDefault="006A7AB2" w:rsidP="004F5A97">
            <w:pPr>
              <w:rPr>
                <w:sz w:val="22"/>
                <w:szCs w:val="22"/>
                <w:lang w:val="es-ES"/>
              </w:rPr>
            </w:pPr>
            <w:r w:rsidRPr="003B7949">
              <w:rPr>
                <w:sz w:val="22"/>
                <w:szCs w:val="22"/>
                <w:lang w:val="es-ES"/>
              </w:rPr>
              <w:t xml:space="preserve">Diagnóstico e Intervención (Unidad: Tecnología Médica y </w:t>
            </w:r>
            <w:proofErr w:type="spellStart"/>
            <w:r w:rsidRPr="003B7949">
              <w:rPr>
                <w:sz w:val="22"/>
                <w:szCs w:val="22"/>
                <w:lang w:val="es-ES"/>
              </w:rPr>
              <w:t>Radiofísica</w:t>
            </w:r>
            <w:proofErr w:type="spellEnd"/>
            <w:r w:rsidRPr="003B7949">
              <w:rPr>
                <w:sz w:val="22"/>
                <w:szCs w:val="22"/>
                <w:lang w:val="es-ES"/>
              </w:rPr>
              <w:t>)</w:t>
            </w:r>
            <w:r w:rsidR="00F54347" w:rsidRPr="003B7949">
              <w:rPr>
                <w:sz w:val="22"/>
                <w:szCs w:val="22"/>
                <w:lang w:val="es-ES"/>
              </w:rPr>
              <w:t xml:space="preserve"> (UMU)</w:t>
            </w:r>
          </w:p>
        </w:tc>
      </w:tr>
      <w:tr w:rsidR="00191454" w:rsidRPr="006D2024" w14:paraId="39411455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04BC9AE6" w14:textId="77777777" w:rsidR="00BD3419" w:rsidRPr="00BD3419" w:rsidRDefault="00BD3419" w:rsidP="00BD3419">
            <w:pPr>
              <w:jc w:val="both"/>
              <w:rPr>
                <w:sz w:val="22"/>
                <w:szCs w:val="22"/>
                <w:lang w:val="es-ES"/>
              </w:rPr>
            </w:pPr>
            <w:r w:rsidRPr="00BD3419">
              <w:rPr>
                <w:sz w:val="22"/>
                <w:szCs w:val="22"/>
                <w:lang w:val="es-ES"/>
              </w:rPr>
              <w:t>El análisis del movimiento con unidades de medición inercial (IMU) es una alternativa a los sistemas ópticos tradicionales, ofreciendo ventajas como portabilidad y rentabilidad. Sin embargo, la precisión de las mediciones puede verse afectada por la colocación de los sensores, especialmente en las extremidades inferiores, donde los movimientos articulares son complejos.</w:t>
            </w:r>
          </w:p>
          <w:p w14:paraId="528F1D7B" w14:textId="382709A9" w:rsidR="00BD3419" w:rsidRPr="00BD3419" w:rsidRDefault="00BD3419" w:rsidP="00BD3419">
            <w:pPr>
              <w:jc w:val="both"/>
              <w:rPr>
                <w:sz w:val="22"/>
                <w:szCs w:val="22"/>
                <w:lang w:val="es-ES"/>
              </w:rPr>
            </w:pPr>
            <w:r w:rsidRPr="00BD3419">
              <w:rPr>
                <w:sz w:val="22"/>
                <w:szCs w:val="22"/>
                <w:lang w:val="es-ES"/>
              </w:rPr>
              <w:t>Este proyecto busca estudiar cómo influye la ubicación de los sensores en los resultados cinemáticos</w:t>
            </w:r>
            <w:r w:rsidR="005C021D">
              <w:rPr>
                <w:sz w:val="22"/>
                <w:szCs w:val="22"/>
                <w:lang w:val="es-ES"/>
              </w:rPr>
              <w:t>.</w:t>
            </w:r>
            <w:r w:rsidRPr="00BD3419">
              <w:rPr>
                <w:sz w:val="22"/>
                <w:szCs w:val="22"/>
                <w:lang w:val="es-ES"/>
              </w:rPr>
              <w:t xml:space="preserve"> Para ello, se reclutarán once participantes sanos, que realizarán pruebas de marcha con sensores colocados proximal y distalmente</w:t>
            </w:r>
            <w:r w:rsidR="001A5DBA">
              <w:rPr>
                <w:sz w:val="22"/>
                <w:szCs w:val="22"/>
                <w:lang w:val="es-ES"/>
              </w:rPr>
              <w:t xml:space="preserve"> en mus</w:t>
            </w:r>
            <w:r w:rsidR="00C54CC4">
              <w:rPr>
                <w:sz w:val="22"/>
                <w:szCs w:val="22"/>
                <w:lang w:val="es-ES"/>
              </w:rPr>
              <w:t>l</w:t>
            </w:r>
            <w:r w:rsidR="001A5DBA">
              <w:rPr>
                <w:sz w:val="22"/>
                <w:szCs w:val="22"/>
                <w:lang w:val="es-ES"/>
              </w:rPr>
              <w:t>o y espinilla</w:t>
            </w:r>
            <w:r w:rsidRPr="00BD3419">
              <w:rPr>
                <w:sz w:val="22"/>
                <w:szCs w:val="22"/>
                <w:lang w:val="es-ES"/>
              </w:rPr>
              <w:t>. Se emplearán modelos estadísticos para evaluar la relación entre ubicación y precisión de los datos.</w:t>
            </w:r>
          </w:p>
          <w:p w14:paraId="6462B184" w14:textId="673B4F24" w:rsidR="00191454" w:rsidRPr="00532743" w:rsidRDefault="00BD3419" w:rsidP="00BD3419">
            <w:pPr>
              <w:jc w:val="both"/>
              <w:rPr>
                <w:sz w:val="22"/>
                <w:szCs w:val="22"/>
                <w:lang w:val="es-ES"/>
              </w:rPr>
            </w:pPr>
            <w:r w:rsidRPr="00BD3419">
              <w:rPr>
                <w:sz w:val="22"/>
                <w:szCs w:val="22"/>
                <w:lang w:val="es-ES"/>
              </w:rPr>
              <w:t>Los hallazgos contribuirán a mejorar la fiabilidad del análisis del movimiento basado en IMU, proporcionando recomendaciones para su aplicación en entornos clínicos, deportivos y de rehabilitación.</w:t>
            </w:r>
          </w:p>
        </w:tc>
      </w:tr>
      <w:tr w:rsidR="00191454" w:rsidRPr="006D2024" w14:paraId="568B6061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52A31C8E" w14:textId="77B23D18" w:rsidR="00C86C14" w:rsidRPr="00532743" w:rsidRDefault="002A0C1A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IMU</w:t>
            </w:r>
            <w:r w:rsidR="00C86C14">
              <w:rPr>
                <w:sz w:val="22"/>
                <w:szCs w:val="22"/>
                <w:lang w:val="es-ES"/>
              </w:rPr>
              <w:t>, marcha, posición/colocación</w:t>
            </w:r>
            <w:r w:rsidR="00BE72C0">
              <w:rPr>
                <w:sz w:val="22"/>
                <w:szCs w:val="22"/>
                <w:lang w:val="es-ES"/>
              </w:rPr>
              <w:t>, precisión</w:t>
            </w:r>
            <w:r w:rsidR="00C54CC4">
              <w:rPr>
                <w:sz w:val="22"/>
                <w:szCs w:val="22"/>
                <w:lang w:val="es-ES"/>
              </w:rPr>
              <w:t>, extremidad inferior, pierna</w:t>
            </w:r>
          </w:p>
        </w:tc>
      </w:tr>
      <w:tr w:rsidR="001A3ECB" w:rsidRPr="006D2024" w14:paraId="3AC08E72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21FE42D4" w14:textId="41A8F7E1" w:rsidR="001A3ECB" w:rsidRPr="004F5A97" w:rsidRDefault="001A3ECB" w:rsidP="001A3ECB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34E9F243" w14:textId="77777777" w:rsidR="006D2024" w:rsidRPr="001953AC" w:rsidRDefault="006D2024" w:rsidP="006D2024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953AC">
              <w:rPr>
                <w:rFonts w:ascii="Arial" w:hAnsi="Arial" w:cs="Arial"/>
                <w:sz w:val="18"/>
                <w:szCs w:val="18"/>
                <w:lang w:val="es-ES"/>
              </w:rPr>
              <w:t>CB2. Que los estudiantes sepan aplicar sus conocimientos a su trabajo o vocación de una forma profesional y posean las competencias que suelen demostrarse por medio de la elaboración y defensa de argumentos y la resolución de problemas dentro de su área de estudio.</w:t>
            </w:r>
          </w:p>
          <w:p w14:paraId="0DFFCF3B" w14:textId="77777777" w:rsidR="006D2024" w:rsidRPr="00963DAE" w:rsidRDefault="006D2024" w:rsidP="006D2024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63DAE">
              <w:rPr>
                <w:rFonts w:ascii="Arial" w:hAnsi="Arial" w:cs="Arial"/>
                <w:sz w:val="18"/>
                <w:szCs w:val="18"/>
                <w:lang w:val="es-ES"/>
              </w:rPr>
              <w:t>CG5. Adquirir, analizar, interpretar y gestionar información.</w:t>
            </w:r>
          </w:p>
          <w:p w14:paraId="29BDCA93" w14:textId="77777777" w:rsidR="006D2024" w:rsidRPr="001953AC" w:rsidRDefault="006D2024" w:rsidP="006D2024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953AC">
              <w:rPr>
                <w:rFonts w:ascii="Arial" w:hAnsi="Arial" w:cs="Arial"/>
                <w:sz w:val="18"/>
                <w:szCs w:val="18"/>
                <w:lang w:val="es-ES"/>
              </w:rPr>
              <w:t>CT2. Capacidad de organizar y planificar su trabajo tomando las decisiones correctas basadas en la información disponible, reuniendo e interpretando datos relevantes para emitir juicios dentro de su área de estudio.</w:t>
            </w:r>
          </w:p>
          <w:p w14:paraId="32567B2F" w14:textId="71112F75" w:rsidR="001A3ECB" w:rsidRPr="006D2024" w:rsidRDefault="006D2024" w:rsidP="00303D73">
            <w:pPr>
              <w:autoSpaceDE w:val="0"/>
              <w:autoSpaceDN w:val="0"/>
              <w:adjustRightInd w:val="0"/>
              <w:ind w:left="993" w:hanging="567"/>
              <w:jc w:val="both"/>
              <w:rPr>
                <w:sz w:val="22"/>
                <w:szCs w:val="22"/>
                <w:lang w:val="es-ES"/>
              </w:rPr>
            </w:pPr>
            <w:r w:rsidRPr="0099701D">
              <w:rPr>
                <w:rFonts w:ascii="Arial" w:hAnsi="Arial" w:cs="Arial"/>
                <w:sz w:val="18"/>
                <w:szCs w:val="18"/>
                <w:lang w:val="es-ES"/>
              </w:rPr>
              <w:t>CE32. Desarrollar la capacidad de realizar individualmente, presentar y defender, ante un tribunal universitario, un proyecto en el ámbito de las tecnologías específicas de la Ingeniería Biomédica de naturaleza profesional en el que se sinteticen e integren las competencias adquiridas.</w:t>
            </w:r>
          </w:p>
        </w:tc>
      </w:tr>
      <w:tr w:rsidR="001A3ECB" w:rsidRPr="006D202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1A3ECB" w:rsidRPr="006D2024" w:rsidRDefault="001A3ECB" w:rsidP="001A3ECB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1A3ECB" w:rsidRPr="00394C26" w:rsidRDefault="001A3ECB" w:rsidP="001A3ECB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7D68B9CC" w:rsidR="001A3ECB" w:rsidRDefault="001A3ECB" w:rsidP="001A3ECB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 </w:t>
            </w:r>
            <w:r w:rsidRPr="006A7AB2">
              <w:rPr>
                <w:sz w:val="22"/>
                <w:szCs w:val="22"/>
                <w:lang w:val="es-ES"/>
              </w:rPr>
              <w:t>Paula Urbaneja Fern</w:t>
            </w:r>
            <w:r w:rsidR="007D4533">
              <w:rPr>
                <w:sz w:val="22"/>
                <w:szCs w:val="22"/>
                <w:lang w:val="es-ES"/>
              </w:rPr>
              <w:t>á</w:t>
            </w:r>
            <w:r w:rsidRPr="006A7AB2">
              <w:rPr>
                <w:sz w:val="22"/>
                <w:szCs w:val="22"/>
                <w:lang w:val="es-ES"/>
              </w:rPr>
              <w:t>ndez</w:t>
            </w:r>
          </w:p>
          <w:p w14:paraId="2A5E247C" w14:textId="365B46AF" w:rsidR="001A3ECB" w:rsidRPr="00532743" w:rsidRDefault="001A3ECB" w:rsidP="001A3ECB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6D202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5F84DC82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E453D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914F83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07004E68" w:rsidR="004F5A97" w:rsidRPr="00532743" w:rsidRDefault="006B0F9D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191454" w14:paraId="1A5DFC4D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6CC9E87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2E32A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566BD5A3" w:rsidR="004F5A97" w:rsidRPr="00FD240B" w:rsidRDefault="002E32AF" w:rsidP="00D44E97">
            <w:pPr>
              <w:rPr>
                <w:sz w:val="22"/>
                <w:szCs w:val="22"/>
                <w:lang w:val="es-ES"/>
              </w:rPr>
            </w:pPr>
            <w:r w:rsidRPr="00FD240B">
              <w:rPr>
                <w:sz w:val="22"/>
                <w:szCs w:val="22"/>
                <w:lang w:val="es-ES"/>
              </w:rPr>
              <w:t>Mario Martínez Zarzuela</w:t>
            </w:r>
          </w:p>
        </w:tc>
      </w:tr>
      <w:tr w:rsidR="00191454" w14:paraId="290C9998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0502279B" w:rsidR="004F5A97" w:rsidRPr="00532743" w:rsidRDefault="002E32AF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  <w:tr w:rsidR="00191454" w14:paraId="2A2E43DE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14E719E4" w:rsidR="004F5A97" w:rsidRPr="00532743" w:rsidRDefault="006B0F9D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</w:tc>
      </w:tr>
      <w:tr w:rsidR="00191454" w14:paraId="558C1512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lastRenderedPageBreak/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4774273A" w:rsidR="00394C26" w:rsidRPr="00532743" w:rsidRDefault="006B0F9D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4715D" w14:textId="77777777" w:rsidR="00FD14A7" w:rsidRDefault="00FD14A7" w:rsidP="001A5F33">
      <w:r>
        <w:separator/>
      </w:r>
    </w:p>
  </w:endnote>
  <w:endnote w:type="continuationSeparator" w:id="0">
    <w:p w14:paraId="1E36D38F" w14:textId="77777777" w:rsidR="00FD14A7" w:rsidRDefault="00FD14A7" w:rsidP="001A5F33">
      <w:r>
        <w:continuationSeparator/>
      </w:r>
    </w:p>
  </w:endnote>
  <w:endnote w:type="continuationNotice" w:id="1">
    <w:p w14:paraId="77C23905" w14:textId="77777777" w:rsidR="007D4533" w:rsidRDefault="007D4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ED7FA" w14:textId="77777777" w:rsidR="00FD14A7" w:rsidRDefault="00FD14A7" w:rsidP="001A5F33">
      <w:r>
        <w:separator/>
      </w:r>
    </w:p>
  </w:footnote>
  <w:footnote w:type="continuationSeparator" w:id="0">
    <w:p w14:paraId="0A72F7A8" w14:textId="77777777" w:rsidR="00FD14A7" w:rsidRDefault="00FD14A7" w:rsidP="001A5F33">
      <w:r>
        <w:continuationSeparator/>
      </w:r>
    </w:p>
  </w:footnote>
  <w:footnote w:type="continuationNotice" w:id="1">
    <w:p w14:paraId="1CF3E716" w14:textId="77777777" w:rsidR="007D4533" w:rsidRDefault="007D45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9BE3CA9"/>
    <w:multiLevelType w:val="hybridMultilevel"/>
    <w:tmpl w:val="8014E2E6"/>
    <w:lvl w:ilvl="0" w:tplc="97AC3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461702">
    <w:abstractNumId w:val="1"/>
  </w:num>
  <w:num w:numId="2" w16cid:durableId="1704356098">
    <w:abstractNumId w:val="0"/>
  </w:num>
  <w:num w:numId="3" w16cid:durableId="1878927574">
    <w:abstractNumId w:val="2"/>
  </w:num>
  <w:num w:numId="4" w16cid:durableId="1751805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44FC2"/>
    <w:rsid w:val="00065938"/>
    <w:rsid w:val="00080457"/>
    <w:rsid w:val="00080733"/>
    <w:rsid w:val="00094E5F"/>
    <w:rsid w:val="000A3D87"/>
    <w:rsid w:val="000A41E6"/>
    <w:rsid w:val="000A443E"/>
    <w:rsid w:val="000D5488"/>
    <w:rsid w:val="000D5E8A"/>
    <w:rsid w:val="000E73C5"/>
    <w:rsid w:val="001322D4"/>
    <w:rsid w:val="00144349"/>
    <w:rsid w:val="00144683"/>
    <w:rsid w:val="00174F7C"/>
    <w:rsid w:val="0017543C"/>
    <w:rsid w:val="00191454"/>
    <w:rsid w:val="001A3ECB"/>
    <w:rsid w:val="001A52A8"/>
    <w:rsid w:val="001A5DBA"/>
    <w:rsid w:val="001A5F33"/>
    <w:rsid w:val="001E52AB"/>
    <w:rsid w:val="002075AB"/>
    <w:rsid w:val="002555E5"/>
    <w:rsid w:val="0027449F"/>
    <w:rsid w:val="002A0C1A"/>
    <w:rsid w:val="002A5E3C"/>
    <w:rsid w:val="002D77DD"/>
    <w:rsid w:val="002E32AF"/>
    <w:rsid w:val="00303D73"/>
    <w:rsid w:val="00306D6E"/>
    <w:rsid w:val="003167BA"/>
    <w:rsid w:val="00394C26"/>
    <w:rsid w:val="003A2734"/>
    <w:rsid w:val="003B3ADF"/>
    <w:rsid w:val="003B7949"/>
    <w:rsid w:val="00400C29"/>
    <w:rsid w:val="004F5A97"/>
    <w:rsid w:val="005034A1"/>
    <w:rsid w:val="00512C3F"/>
    <w:rsid w:val="00532743"/>
    <w:rsid w:val="005428E9"/>
    <w:rsid w:val="005549A2"/>
    <w:rsid w:val="005A1481"/>
    <w:rsid w:val="005B420F"/>
    <w:rsid w:val="005C021D"/>
    <w:rsid w:val="005E013D"/>
    <w:rsid w:val="00622B54"/>
    <w:rsid w:val="0063749D"/>
    <w:rsid w:val="00671857"/>
    <w:rsid w:val="00672F3F"/>
    <w:rsid w:val="006A7AB2"/>
    <w:rsid w:val="006B0F9D"/>
    <w:rsid w:val="006C7D94"/>
    <w:rsid w:val="006D2024"/>
    <w:rsid w:val="00721A3A"/>
    <w:rsid w:val="00723387"/>
    <w:rsid w:val="0073575C"/>
    <w:rsid w:val="00746A7B"/>
    <w:rsid w:val="00790395"/>
    <w:rsid w:val="007B012B"/>
    <w:rsid w:val="007B03D3"/>
    <w:rsid w:val="007D4533"/>
    <w:rsid w:val="007D7D0E"/>
    <w:rsid w:val="007F5224"/>
    <w:rsid w:val="0080541A"/>
    <w:rsid w:val="00863BDA"/>
    <w:rsid w:val="008D2959"/>
    <w:rsid w:val="008D2EBF"/>
    <w:rsid w:val="008F4FEB"/>
    <w:rsid w:val="00907F6B"/>
    <w:rsid w:val="00914F83"/>
    <w:rsid w:val="009571E0"/>
    <w:rsid w:val="00987153"/>
    <w:rsid w:val="00A20D63"/>
    <w:rsid w:val="00AB1CF8"/>
    <w:rsid w:val="00B47BED"/>
    <w:rsid w:val="00BA0607"/>
    <w:rsid w:val="00BC326D"/>
    <w:rsid w:val="00BD3419"/>
    <w:rsid w:val="00BE72C0"/>
    <w:rsid w:val="00C07010"/>
    <w:rsid w:val="00C4564E"/>
    <w:rsid w:val="00C5264D"/>
    <w:rsid w:val="00C54CC4"/>
    <w:rsid w:val="00C66BF8"/>
    <w:rsid w:val="00C86C14"/>
    <w:rsid w:val="00C92E7A"/>
    <w:rsid w:val="00CA17D5"/>
    <w:rsid w:val="00D13E36"/>
    <w:rsid w:val="00D16731"/>
    <w:rsid w:val="00D52CE1"/>
    <w:rsid w:val="00D707D2"/>
    <w:rsid w:val="00DF69E5"/>
    <w:rsid w:val="00E453DE"/>
    <w:rsid w:val="00E961D7"/>
    <w:rsid w:val="00F046BE"/>
    <w:rsid w:val="00F20B38"/>
    <w:rsid w:val="00F21D0D"/>
    <w:rsid w:val="00F54347"/>
    <w:rsid w:val="00FB6B76"/>
    <w:rsid w:val="00FC7EB7"/>
    <w:rsid w:val="00FD14A7"/>
    <w:rsid w:val="00FD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4ba6f9-f531-4f32-9467-398f19e69de4}" enabled="0" method="" siteId="{5a4ba6f9-f531-4f32-9467-398f19e69de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427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MARIO MARTINEZ ZARZUELA</cp:lastModifiedBy>
  <cp:revision>10</cp:revision>
  <cp:lastPrinted>2022-06-16T18:10:00Z</cp:lastPrinted>
  <dcterms:created xsi:type="dcterms:W3CDTF">2025-02-03T09:57:00Z</dcterms:created>
  <dcterms:modified xsi:type="dcterms:W3CDTF">2025-02-05T07:35:00Z</dcterms:modified>
</cp:coreProperties>
</file>