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8" w:type="dxa"/>
        <w:tblLook w:val="04A0" w:firstRow="1" w:lastRow="0" w:firstColumn="1" w:lastColumn="0" w:noHBand="0" w:noVBand="1"/>
      </w:tblPr>
      <w:tblGrid>
        <w:gridCol w:w="2689"/>
        <w:gridCol w:w="6949"/>
      </w:tblGrid>
      <w:tr w:rsidR="00191454" w:rsidRPr="0000248A" w14:paraId="1713DEC4" w14:textId="77777777" w:rsidTr="00D756AC">
        <w:tc>
          <w:tcPr>
            <w:tcW w:w="9638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00248A" w14:paraId="3E74CEF6" w14:textId="77777777" w:rsidTr="00D756AC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744450C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  <w:r w:rsidR="00BC66F3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3F1B5DC1" w:rsidR="00532743" w:rsidRPr="00E84CA3" w:rsidRDefault="001743C6" w:rsidP="00D756AC">
            <w:pPr>
              <w:spacing w:before="60" w:after="60"/>
              <w:rPr>
                <w:b/>
                <w:bCs/>
                <w:lang w:val="es-ES"/>
              </w:rPr>
            </w:pPr>
            <w:r w:rsidRPr="001743C6">
              <w:rPr>
                <w:b/>
                <w:bCs/>
                <w:color w:val="000000"/>
                <w:lang w:val="es-ES"/>
              </w:rPr>
              <w:t>H</w:t>
            </w:r>
            <w:r>
              <w:rPr>
                <w:b/>
                <w:bCs/>
                <w:color w:val="000000"/>
                <w:lang w:val="es-ES"/>
              </w:rPr>
              <w:t>ERRAMIENTA DE</w:t>
            </w:r>
            <w:r w:rsidRPr="001743C6">
              <w:rPr>
                <w:b/>
                <w:bCs/>
                <w:color w:val="000000"/>
                <w:lang w:val="es-ES"/>
              </w:rPr>
              <w:t xml:space="preserve"> DIAGNOSTICO DE ENFERMEDAD CORONARIA BASADO EN IMAGEN DE ALTA RESOLUCION CON TAC CORONARIO</w:t>
            </w:r>
          </w:p>
        </w:tc>
      </w:tr>
      <w:tr w:rsidR="00191454" w:rsidRPr="0000248A" w14:paraId="33AEB1BD" w14:textId="77777777" w:rsidTr="00D756AC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36D51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</w:t>
            </w:r>
            <w:r w:rsidR="0000248A">
              <w:rPr>
                <w:b/>
                <w:bCs/>
                <w:sz w:val="22"/>
                <w:szCs w:val="22"/>
                <w:lang w:val="es-ES"/>
              </w:rPr>
              <w:t>es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4900222" w14:textId="567BE256" w:rsidR="00532743" w:rsidRPr="00532743" w:rsidRDefault="0000248A" w:rsidP="00D756AC">
            <w:pPr>
              <w:spacing w:before="60" w:after="60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Juan Carlos Muñoz San José, </w:t>
            </w:r>
            <w:r w:rsidR="00B142D0">
              <w:rPr>
                <w:sz w:val="22"/>
                <w:szCs w:val="22"/>
                <w:lang w:val="es-ES"/>
              </w:rPr>
              <w:t>Marcos Martín Fernández</w:t>
            </w:r>
          </w:p>
        </w:tc>
      </w:tr>
      <w:tr w:rsidR="00191454" w:rsidRPr="0000248A" w14:paraId="7B8F0F8F" w14:textId="77777777" w:rsidTr="00D756AC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038842" w14:textId="498CD80A" w:rsidR="00532743" w:rsidRPr="00532743" w:rsidRDefault="00BC66F3" w:rsidP="00D756AC">
            <w:pPr>
              <w:spacing w:before="60" w:after="60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Teoría de la Señal, Comunicaciones e Ingeniería Telemática</w:t>
            </w:r>
          </w:p>
        </w:tc>
      </w:tr>
      <w:tr w:rsidR="00191454" w:rsidRPr="0000248A" w14:paraId="39411455" w14:textId="77777777" w:rsidTr="00D756AC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bookmarkStart w:id="0" w:name="_Hlk146881324"/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6462B184" w14:textId="54F41A52" w:rsidR="00191454" w:rsidRPr="00532743" w:rsidRDefault="00A95260" w:rsidP="00D756AC">
            <w:pPr>
              <w:spacing w:before="60" w:after="60"/>
              <w:jc w:val="both"/>
              <w:rPr>
                <w:sz w:val="22"/>
                <w:szCs w:val="22"/>
                <w:lang w:val="es-ES"/>
              </w:rPr>
            </w:pPr>
            <w:r w:rsidRPr="00A95260">
              <w:rPr>
                <w:sz w:val="22"/>
                <w:szCs w:val="22"/>
                <w:lang w:val="es-ES"/>
              </w:rPr>
              <w:t xml:space="preserve">La tomografía computarizada es una técnica de imagen radiológica que tiene aplicación en </w:t>
            </w:r>
            <w:r w:rsidR="00762199">
              <w:rPr>
                <w:sz w:val="22"/>
                <w:szCs w:val="22"/>
                <w:lang w:val="es-ES"/>
              </w:rPr>
              <w:t>c</w:t>
            </w:r>
            <w:r w:rsidRPr="00A95260">
              <w:rPr>
                <w:sz w:val="22"/>
                <w:szCs w:val="22"/>
                <w:lang w:val="es-ES"/>
              </w:rPr>
              <w:t xml:space="preserve">ardiología, sobre todo en el estudio de la enfermedad coronaria: el grado de estrechamiento (estenosis) de las arterias coronarias se basa en estimaciones visuales y cálculos de porcentaje de estenosis respecto a vaso sano. Actualmente el TAC de última generación realiza el estudio en </w:t>
            </w:r>
            <w:r>
              <w:rPr>
                <w:sz w:val="22"/>
                <w:szCs w:val="22"/>
                <w:lang w:val="es-ES"/>
              </w:rPr>
              <w:t>un único</w:t>
            </w:r>
            <w:r w:rsidRPr="00A95260">
              <w:rPr>
                <w:sz w:val="22"/>
                <w:szCs w:val="22"/>
                <w:lang w:val="es-ES"/>
              </w:rPr>
              <w:t xml:space="preserve"> latido, lo que permite analizar la perdida de densidad de contraste de forma cuantitativa (</w:t>
            </w:r>
            <w:r w:rsidR="00826D71">
              <w:rPr>
                <w:sz w:val="22"/>
                <w:szCs w:val="22"/>
                <w:lang w:val="es-ES"/>
              </w:rPr>
              <w:t>mediante</w:t>
            </w:r>
            <w:r w:rsidRPr="00A95260">
              <w:rPr>
                <w:sz w:val="22"/>
                <w:szCs w:val="22"/>
                <w:lang w:val="es-ES"/>
              </w:rPr>
              <w:t xml:space="preserve"> unidad</w:t>
            </w:r>
            <w:r w:rsidR="00826D71">
              <w:rPr>
                <w:sz w:val="22"/>
                <w:szCs w:val="22"/>
                <w:lang w:val="es-ES"/>
              </w:rPr>
              <w:t>es</w:t>
            </w:r>
            <w:r w:rsidRPr="00A95260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A95260">
              <w:rPr>
                <w:sz w:val="22"/>
                <w:szCs w:val="22"/>
                <w:lang w:val="es-ES"/>
              </w:rPr>
              <w:t>Hounsfield</w:t>
            </w:r>
            <w:proofErr w:type="spellEnd"/>
            <w:r w:rsidR="00762199">
              <w:rPr>
                <w:sz w:val="22"/>
                <w:szCs w:val="22"/>
                <w:lang w:val="es-ES"/>
              </w:rPr>
              <w:t xml:space="preserve"> HU</w:t>
            </w:r>
            <w:r w:rsidRPr="00A95260">
              <w:rPr>
                <w:sz w:val="22"/>
                <w:szCs w:val="22"/>
                <w:lang w:val="es-ES"/>
              </w:rPr>
              <w:t xml:space="preserve">) antes y después de una estenosis de forma objetiva. No existe una herramienta basada en la imagen radiológica de las arterias que permita a los clínicos definir qué grado de atenuación significa estenosis relevante.  </w:t>
            </w:r>
            <w:r w:rsidR="008F6195">
              <w:rPr>
                <w:sz w:val="22"/>
                <w:szCs w:val="22"/>
                <w:lang w:val="es-ES"/>
              </w:rPr>
              <w:t>S</w:t>
            </w:r>
            <w:r w:rsidRPr="00A95260">
              <w:rPr>
                <w:sz w:val="22"/>
                <w:szCs w:val="22"/>
                <w:lang w:val="es-ES"/>
              </w:rPr>
              <w:t>e propone</w:t>
            </w:r>
            <w:r w:rsidR="008F6195">
              <w:rPr>
                <w:sz w:val="22"/>
                <w:szCs w:val="22"/>
                <w:lang w:val="es-ES"/>
              </w:rPr>
              <w:t xml:space="preserve"> entonces</w:t>
            </w:r>
            <w:r w:rsidRPr="00A95260">
              <w:rPr>
                <w:sz w:val="22"/>
                <w:szCs w:val="22"/>
                <w:lang w:val="es-ES"/>
              </w:rPr>
              <w:t xml:space="preserve"> </w:t>
            </w:r>
            <w:r w:rsidR="00250EF5">
              <w:rPr>
                <w:sz w:val="22"/>
                <w:szCs w:val="22"/>
                <w:lang w:val="es-ES"/>
              </w:rPr>
              <w:t>desarrollar</w:t>
            </w:r>
            <w:r w:rsidRPr="00A95260">
              <w:rPr>
                <w:sz w:val="22"/>
                <w:szCs w:val="22"/>
                <w:lang w:val="es-ES"/>
              </w:rPr>
              <w:t xml:space="preserve"> un</w:t>
            </w:r>
            <w:r w:rsidR="00250EF5">
              <w:rPr>
                <w:sz w:val="22"/>
                <w:szCs w:val="22"/>
                <w:lang w:val="es-ES"/>
              </w:rPr>
              <w:t xml:space="preserve">a </w:t>
            </w:r>
            <w:r w:rsidRPr="00A95260">
              <w:rPr>
                <w:sz w:val="22"/>
                <w:szCs w:val="22"/>
                <w:lang w:val="es-ES"/>
              </w:rPr>
              <w:t>herramienta de software</w:t>
            </w:r>
            <w:r w:rsidR="00250EF5">
              <w:rPr>
                <w:sz w:val="22"/>
                <w:szCs w:val="22"/>
                <w:lang w:val="es-ES"/>
              </w:rPr>
              <w:t xml:space="preserve"> que emplee</w:t>
            </w:r>
            <w:r w:rsidRPr="00A95260">
              <w:rPr>
                <w:sz w:val="22"/>
                <w:szCs w:val="22"/>
                <w:lang w:val="es-ES"/>
              </w:rPr>
              <w:t xml:space="preserve"> las imágenes radiológicas de forma cuantitativa (atenuación</w:t>
            </w:r>
            <w:r w:rsidR="008F6195">
              <w:rPr>
                <w:sz w:val="22"/>
                <w:szCs w:val="22"/>
                <w:lang w:val="es-ES"/>
              </w:rPr>
              <w:t xml:space="preserve"> de</w:t>
            </w:r>
            <w:r w:rsidRPr="00A95260">
              <w:rPr>
                <w:sz w:val="22"/>
                <w:szCs w:val="22"/>
                <w:lang w:val="es-ES"/>
              </w:rPr>
              <w:t xml:space="preserve"> señal medida en </w:t>
            </w:r>
            <w:r w:rsidR="00762199">
              <w:rPr>
                <w:sz w:val="22"/>
                <w:szCs w:val="22"/>
                <w:lang w:val="es-ES"/>
              </w:rPr>
              <w:t>HU</w:t>
            </w:r>
            <w:r w:rsidRPr="00A95260">
              <w:rPr>
                <w:sz w:val="22"/>
                <w:szCs w:val="22"/>
                <w:lang w:val="es-ES"/>
              </w:rPr>
              <w:t>)</w:t>
            </w:r>
            <w:r w:rsidR="00762199">
              <w:rPr>
                <w:sz w:val="22"/>
                <w:szCs w:val="22"/>
                <w:lang w:val="es-ES"/>
              </w:rPr>
              <w:t xml:space="preserve"> y que permita indicar si la </w:t>
            </w:r>
            <w:r w:rsidRPr="00A95260">
              <w:rPr>
                <w:sz w:val="22"/>
                <w:szCs w:val="22"/>
                <w:lang w:val="es-ES"/>
              </w:rPr>
              <w:t>lesión estenótica es o no significativa (relevante).</w:t>
            </w:r>
          </w:p>
        </w:tc>
      </w:tr>
      <w:bookmarkEnd w:id="0"/>
      <w:tr w:rsidR="00191454" w:rsidRPr="0000248A" w14:paraId="568B6061" w14:textId="77777777" w:rsidTr="00D756AC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30ADD15D" w:rsidR="004F5A97" w:rsidRPr="00532743" w:rsidRDefault="005B5F4D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Tomografía computarizada, enfermedad coronaria, imagen cardiaca</w:t>
            </w:r>
          </w:p>
        </w:tc>
      </w:tr>
      <w:tr w:rsidR="00191454" w:rsidRPr="0000248A" w14:paraId="3AC08E72" w14:textId="77777777" w:rsidTr="00D756AC">
        <w:trPr>
          <w:trHeight w:val="4627"/>
        </w:trPr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6D828E25" w14:textId="5DC55AFE" w:rsidR="00B87B71" w:rsidRDefault="00B87B71" w:rsidP="00D756AC">
            <w:pPr>
              <w:pStyle w:val="NormalWeb"/>
              <w:numPr>
                <w:ilvl w:val="0"/>
                <w:numId w:val="4"/>
              </w:numPr>
              <w:spacing w:before="60" w:beforeAutospacing="0" w:after="60" w:afterAutospacing="0"/>
              <w:ind w:left="459" w:hanging="3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87B71">
              <w:rPr>
                <w:rFonts w:asciiTheme="minorHAnsi" w:hAnsiTheme="minorHAnsi" w:cstheme="minorHAnsi"/>
                <w:sz w:val="22"/>
                <w:szCs w:val="22"/>
              </w:rPr>
              <w:t xml:space="preserve">CG1. Adquirir conocimientos y habilidades adecuados para analizar y sintetizar problemas </w:t>
            </w:r>
            <w:r w:rsidR="00975F22" w:rsidRPr="00B87B71">
              <w:rPr>
                <w:rFonts w:asciiTheme="minorHAnsi" w:hAnsiTheme="minorHAnsi" w:cstheme="minorHAnsi"/>
                <w:sz w:val="22"/>
                <w:szCs w:val="22"/>
              </w:rPr>
              <w:t>básicos</w:t>
            </w:r>
            <w:r w:rsidRPr="00B87B71">
              <w:rPr>
                <w:rFonts w:asciiTheme="minorHAnsi" w:hAnsiTheme="minorHAnsi" w:cstheme="minorHAnsi"/>
                <w:sz w:val="22"/>
                <w:szCs w:val="22"/>
              </w:rPr>
              <w:t xml:space="preserve"> relacionados con la </w:t>
            </w:r>
            <w:r w:rsidR="00975F22" w:rsidRPr="00B87B71">
              <w:rPr>
                <w:rFonts w:asciiTheme="minorHAnsi" w:hAnsiTheme="minorHAnsi" w:cstheme="minorHAnsi"/>
                <w:sz w:val="22"/>
                <w:szCs w:val="22"/>
              </w:rPr>
              <w:t>ingeniería</w:t>
            </w:r>
            <w:r w:rsidRPr="00B87B71">
              <w:rPr>
                <w:rFonts w:asciiTheme="minorHAnsi" w:hAnsiTheme="minorHAnsi" w:cstheme="minorHAnsi"/>
                <w:sz w:val="22"/>
                <w:szCs w:val="22"/>
              </w:rPr>
              <w:t xml:space="preserve"> y las ciencias </w:t>
            </w:r>
            <w:r w:rsidR="00975F22" w:rsidRPr="00B87B71">
              <w:rPr>
                <w:rFonts w:asciiTheme="minorHAnsi" w:hAnsiTheme="minorHAnsi" w:cstheme="minorHAnsi"/>
                <w:sz w:val="22"/>
                <w:szCs w:val="22"/>
              </w:rPr>
              <w:t>biomédicas</w:t>
            </w:r>
            <w:r w:rsidRPr="00B87B71">
              <w:rPr>
                <w:rFonts w:asciiTheme="minorHAnsi" w:hAnsiTheme="minorHAnsi" w:cstheme="minorHAnsi"/>
                <w:sz w:val="22"/>
                <w:szCs w:val="22"/>
              </w:rPr>
              <w:t xml:space="preserve">, resolverlos utilizando el </w:t>
            </w:r>
            <w:r w:rsidR="00975F22" w:rsidRPr="00B87B71">
              <w:rPr>
                <w:rFonts w:asciiTheme="minorHAnsi" w:hAnsiTheme="minorHAnsi" w:cstheme="minorHAnsi"/>
                <w:sz w:val="22"/>
                <w:szCs w:val="22"/>
              </w:rPr>
              <w:t>método</w:t>
            </w:r>
            <w:r w:rsidRPr="00B87B7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75F22" w:rsidRPr="00B87B71">
              <w:rPr>
                <w:rFonts w:asciiTheme="minorHAnsi" w:hAnsiTheme="minorHAnsi" w:cstheme="minorHAnsi"/>
                <w:sz w:val="22"/>
                <w:szCs w:val="22"/>
              </w:rPr>
              <w:t>científico</w:t>
            </w:r>
            <w:r w:rsidRPr="00B87B71">
              <w:rPr>
                <w:rFonts w:asciiTheme="minorHAnsi" w:hAnsiTheme="minorHAnsi" w:cstheme="minorHAnsi"/>
                <w:sz w:val="22"/>
                <w:szCs w:val="22"/>
              </w:rPr>
              <w:t xml:space="preserve"> y comunicarlos de forma eficiente.</w:t>
            </w:r>
          </w:p>
          <w:p w14:paraId="7DE54BD2" w14:textId="3BF10E31" w:rsidR="00D756AC" w:rsidRPr="00D756AC" w:rsidRDefault="00D756AC" w:rsidP="00D756AC">
            <w:pPr>
              <w:pStyle w:val="NormalWeb"/>
              <w:numPr>
                <w:ilvl w:val="0"/>
                <w:numId w:val="4"/>
              </w:numPr>
              <w:ind w:left="461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56AC">
              <w:rPr>
                <w:rFonts w:asciiTheme="minorHAnsi" w:hAnsiTheme="minorHAnsi" w:cstheme="minorHAnsi"/>
                <w:sz w:val="22"/>
                <w:szCs w:val="22"/>
              </w:rPr>
              <w:t>CE10. Conocer las bases físicas y tecnológicas asociadas a las principales modalidades de imagen médica y su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756AC">
              <w:rPr>
                <w:rFonts w:asciiTheme="minorHAnsi" w:hAnsiTheme="minorHAnsi" w:cstheme="minorHAnsi"/>
                <w:sz w:val="22"/>
                <w:szCs w:val="22"/>
              </w:rPr>
              <w:t>aplicación clínica.</w:t>
            </w:r>
          </w:p>
          <w:p w14:paraId="3B63D726" w14:textId="4669E8BB" w:rsidR="00B87B71" w:rsidRPr="00D756AC" w:rsidRDefault="00B87B71" w:rsidP="00D756AC">
            <w:pPr>
              <w:pStyle w:val="NormalWeb"/>
              <w:numPr>
                <w:ilvl w:val="0"/>
                <w:numId w:val="4"/>
              </w:numPr>
              <w:ind w:left="461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56AC">
              <w:rPr>
                <w:rFonts w:asciiTheme="minorHAnsi" w:hAnsiTheme="minorHAnsi" w:cstheme="minorHAnsi"/>
                <w:sz w:val="22"/>
                <w:szCs w:val="22"/>
              </w:rPr>
              <w:t>CE11. Conocer y aplicar diferentes técnicas de análisis y tratamiento de imágenes, así como de visión artificial a la resolución de problemas de interés biológico y médico, así como al diagnóstico por imagen médica.</w:t>
            </w:r>
          </w:p>
          <w:p w14:paraId="67FCAB89" w14:textId="5994E7DB" w:rsidR="00D756AC" w:rsidRDefault="00D756AC" w:rsidP="00D756AC">
            <w:pPr>
              <w:pStyle w:val="NormalWeb"/>
              <w:numPr>
                <w:ilvl w:val="0"/>
                <w:numId w:val="4"/>
              </w:numPr>
              <w:ind w:left="461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56AC">
              <w:rPr>
                <w:rFonts w:asciiTheme="minorHAnsi" w:hAnsiTheme="minorHAnsi" w:cstheme="minorHAnsi"/>
                <w:sz w:val="22"/>
                <w:szCs w:val="22"/>
              </w:rPr>
              <w:t>CE20. Implementar algoritmos en lenguajes de programación modernos y especialmente relevantes en Ingeniería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756AC">
              <w:rPr>
                <w:rFonts w:asciiTheme="minorHAnsi" w:hAnsiTheme="minorHAnsi" w:cstheme="minorHAnsi"/>
                <w:sz w:val="22"/>
                <w:szCs w:val="22"/>
              </w:rPr>
              <w:t>Biomédica.</w:t>
            </w:r>
          </w:p>
          <w:p w14:paraId="659F3B03" w14:textId="4C7CC8A4" w:rsidR="00D756AC" w:rsidRPr="00D756AC" w:rsidRDefault="00D756AC" w:rsidP="00D756AC">
            <w:pPr>
              <w:pStyle w:val="NormalWeb"/>
              <w:numPr>
                <w:ilvl w:val="0"/>
                <w:numId w:val="4"/>
              </w:numPr>
              <w:ind w:left="461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56AC">
              <w:rPr>
                <w:rFonts w:asciiTheme="minorHAnsi" w:hAnsiTheme="minorHAnsi" w:cstheme="minorHAnsi"/>
                <w:sz w:val="22"/>
                <w:szCs w:val="22"/>
              </w:rPr>
              <w:t>CE23. Integrar conocimientos multidisciplinares asociados a la ingeniería, biología y medicina.</w:t>
            </w:r>
          </w:p>
          <w:p w14:paraId="32567B2F" w14:textId="1AAB6EFB" w:rsidR="00D756AC" w:rsidRPr="00D756AC" w:rsidRDefault="00B87B71" w:rsidP="00D756AC">
            <w:pPr>
              <w:pStyle w:val="NormalWeb"/>
              <w:numPr>
                <w:ilvl w:val="0"/>
                <w:numId w:val="4"/>
              </w:numPr>
              <w:ind w:left="461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87B71">
              <w:rPr>
                <w:rFonts w:asciiTheme="minorHAnsi" w:hAnsiTheme="minorHAnsi" w:cstheme="minorHAnsi"/>
                <w:sz w:val="22"/>
                <w:szCs w:val="22"/>
              </w:rPr>
              <w:t xml:space="preserve">CE32. Desarrollar la capacidad de realizar individualmente, presentar y defender, ante un tribunal universitario, un proyecto en el </w:t>
            </w:r>
            <w:r w:rsidR="00975F22" w:rsidRPr="00B87B71">
              <w:rPr>
                <w:rFonts w:asciiTheme="minorHAnsi" w:hAnsiTheme="minorHAnsi" w:cstheme="minorHAnsi"/>
                <w:sz w:val="22"/>
                <w:szCs w:val="22"/>
              </w:rPr>
              <w:t>ámbito</w:t>
            </w:r>
            <w:r w:rsidRPr="00B87B71">
              <w:rPr>
                <w:rFonts w:asciiTheme="minorHAnsi" w:hAnsiTheme="minorHAnsi" w:cstheme="minorHAnsi"/>
                <w:sz w:val="22"/>
                <w:szCs w:val="22"/>
              </w:rPr>
              <w:t xml:space="preserve"> de las </w:t>
            </w:r>
            <w:r w:rsidR="00975F22" w:rsidRPr="00B87B71">
              <w:rPr>
                <w:rFonts w:asciiTheme="minorHAnsi" w:hAnsiTheme="minorHAnsi" w:cstheme="minorHAnsi"/>
                <w:sz w:val="22"/>
                <w:szCs w:val="22"/>
              </w:rPr>
              <w:t>tecnologías</w:t>
            </w:r>
            <w:r w:rsidRPr="00B87B7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75F22" w:rsidRPr="00B87B71">
              <w:rPr>
                <w:rFonts w:asciiTheme="minorHAnsi" w:hAnsiTheme="minorHAnsi" w:cstheme="minorHAnsi"/>
                <w:sz w:val="22"/>
                <w:szCs w:val="22"/>
              </w:rPr>
              <w:t>específicas</w:t>
            </w:r>
            <w:r w:rsidRPr="00B87B71">
              <w:rPr>
                <w:rFonts w:asciiTheme="minorHAnsi" w:hAnsiTheme="minorHAnsi" w:cstheme="minorHAnsi"/>
                <w:sz w:val="22"/>
                <w:szCs w:val="22"/>
              </w:rPr>
              <w:t xml:space="preserve"> de la </w:t>
            </w:r>
            <w:r w:rsidR="00975F22" w:rsidRPr="00B87B71">
              <w:rPr>
                <w:rFonts w:asciiTheme="minorHAnsi" w:hAnsiTheme="minorHAnsi" w:cstheme="minorHAnsi"/>
                <w:sz w:val="22"/>
                <w:szCs w:val="22"/>
              </w:rPr>
              <w:t>Ingeniería</w:t>
            </w:r>
            <w:r w:rsidRPr="00B87B7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75F22" w:rsidRPr="00B87B71">
              <w:rPr>
                <w:rFonts w:asciiTheme="minorHAnsi" w:hAnsiTheme="minorHAnsi" w:cstheme="minorHAnsi"/>
                <w:sz w:val="22"/>
                <w:szCs w:val="22"/>
              </w:rPr>
              <w:t>Biomédica</w:t>
            </w:r>
            <w:r w:rsidRPr="00B87B71">
              <w:rPr>
                <w:rFonts w:asciiTheme="minorHAnsi" w:hAnsiTheme="minorHAnsi" w:cstheme="minorHAnsi"/>
                <w:sz w:val="22"/>
                <w:szCs w:val="22"/>
              </w:rPr>
              <w:t xml:space="preserve"> de naturaleza profesional en el que se sinteticen e integren las competencias adquiridas</w:t>
            </w:r>
            <w:r w:rsidR="00D756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191454" w:rsidRPr="0000248A" w14:paraId="78AA7326" w14:textId="77777777" w:rsidTr="00D756AC">
        <w:tc>
          <w:tcPr>
            <w:tcW w:w="9638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67536C6B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r w:rsidR="005B5F4D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Asociado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3C15AAB3" w14:textId="6E189575" w:rsidR="00394C26" w:rsidRPr="0074309A" w:rsidRDefault="00394C26" w:rsidP="004F5A97">
            <w:pPr>
              <w:rPr>
                <w:lang w:val="es-ES"/>
              </w:rPr>
            </w:pPr>
            <w:r>
              <w:rPr>
                <w:sz w:val="22"/>
                <w:szCs w:val="22"/>
                <w:lang w:val="es-ES"/>
              </w:rPr>
              <w:lastRenderedPageBreak/>
              <w:t xml:space="preserve">                       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</w:p>
          <w:p w14:paraId="2A5E247C" w14:textId="365B46AF" w:rsidR="004F5A97" w:rsidRPr="00532743" w:rsidRDefault="004F5A97" w:rsidP="004F5A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p w14:paraId="37C01218" w14:textId="77777777" w:rsidR="00191454" w:rsidRDefault="00191454" w:rsidP="00532743">
      <w:pPr>
        <w:jc w:val="both"/>
        <w:rPr>
          <w:lang w:val="es-ES"/>
        </w:rPr>
      </w:pPr>
    </w:p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00248A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4F5A97" w:rsidRDefault="00394C26" w:rsidP="00D756AC">
            <w:pPr>
              <w:spacing w:before="60" w:after="60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567D9A97" w:rsidR="004F5A97" w:rsidRPr="00532743" w:rsidRDefault="00B142D0" w:rsidP="00D756AC">
            <w:pPr>
              <w:spacing w:before="60" w:after="60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Carlos Alberola López</w:t>
            </w:r>
          </w:p>
        </w:tc>
      </w:tr>
      <w:tr w:rsidR="00191454" w14:paraId="1A5DFC4D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4F5A97" w:rsidRDefault="00394C26" w:rsidP="00D756AC">
            <w:pPr>
              <w:spacing w:before="60" w:after="60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2BA0752A" w:rsidR="004F5A97" w:rsidRPr="00532743" w:rsidRDefault="00BC66F3" w:rsidP="00D756AC">
            <w:pPr>
              <w:spacing w:before="60" w:after="60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Rodrigo de Luis García</w:t>
            </w:r>
          </w:p>
        </w:tc>
      </w:tr>
      <w:tr w:rsidR="00191454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4F5A97" w:rsidRDefault="00394C26" w:rsidP="00D756AC">
            <w:pPr>
              <w:spacing w:before="60" w:after="60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4409F4CE" w:rsidR="004F5A97" w:rsidRPr="00532743" w:rsidRDefault="00BC66F3" w:rsidP="00D756AC">
            <w:pPr>
              <w:spacing w:before="60" w:after="60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Marcos Martín Fernández</w:t>
            </w:r>
          </w:p>
        </w:tc>
      </w:tr>
      <w:tr w:rsidR="00191454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4F5A97" w:rsidRDefault="00394C26" w:rsidP="00D756AC">
            <w:pPr>
              <w:spacing w:before="60" w:after="60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76475098" w:rsidR="004F5A97" w:rsidRPr="00532743" w:rsidRDefault="00AB4EB5" w:rsidP="00D756AC">
            <w:pPr>
              <w:spacing w:before="60" w:after="60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Antonio Tristán</w:t>
            </w:r>
            <w:r w:rsidR="00780DD0">
              <w:rPr>
                <w:sz w:val="22"/>
                <w:szCs w:val="22"/>
                <w:lang w:val="es-ES"/>
              </w:rPr>
              <w:t xml:space="preserve"> </w:t>
            </w:r>
            <w:r w:rsidR="00E46113">
              <w:rPr>
                <w:sz w:val="22"/>
                <w:szCs w:val="22"/>
                <w:lang w:val="es-ES"/>
              </w:rPr>
              <w:t>Vega</w:t>
            </w:r>
          </w:p>
        </w:tc>
      </w:tr>
      <w:tr w:rsidR="00191454" w14:paraId="558C1512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4F5A97" w:rsidRPr="004F5A97" w:rsidRDefault="00394C26" w:rsidP="00D756AC">
            <w:pPr>
              <w:spacing w:before="60" w:after="60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709A809B" w:rsidR="00394C26" w:rsidRPr="00532743" w:rsidRDefault="00780DD0" w:rsidP="00D756AC">
            <w:pPr>
              <w:spacing w:before="60" w:after="60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Santiago Aja Fernández</w:t>
            </w: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659C40" w14:textId="77777777" w:rsidR="001E11FA" w:rsidRDefault="001E11FA" w:rsidP="001A5F33">
      <w:r>
        <w:separator/>
      </w:r>
    </w:p>
  </w:endnote>
  <w:endnote w:type="continuationSeparator" w:id="0">
    <w:p w14:paraId="3F129D70" w14:textId="77777777" w:rsidR="001E11FA" w:rsidRDefault="001E11FA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r w:rsidR="000D5E8A">
      <w:fldChar w:fldCharType="begin"/>
    </w:r>
    <w:r w:rsidR="000D5E8A" w:rsidRPr="0000248A">
      <w:rPr>
        <w:lang w:val="es-ES"/>
      </w:rPr>
      <w:instrText>HYPERLINK "mailto:grado.ing.biomedica@uva.es"</w:instrText>
    </w:r>
    <w:r w:rsidR="000D5E8A">
      <w:fldChar w:fldCharType="separate"/>
    </w:r>
    <w:r w:rsidR="000D5E8A" w:rsidRPr="00F5452F">
      <w:rPr>
        <w:rStyle w:val="Hipervnculo"/>
        <w:rFonts w:cstheme="minorBidi"/>
        <w:sz w:val="18"/>
        <w:szCs w:val="18"/>
        <w:lang w:val="es-ES"/>
      </w:rPr>
      <w:t>grado.ing.biomedica@uva.es</w:t>
    </w:r>
    <w:r w:rsidR="000D5E8A">
      <w:rPr>
        <w:rStyle w:val="Hipervnculo"/>
        <w:rFonts w:cstheme="minorBidi"/>
        <w:sz w:val="18"/>
        <w:szCs w:val="18"/>
        <w:lang w:val="es-ES"/>
      </w:rPr>
      <w:fldChar w:fldCharType="end"/>
    </w:r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AD82A5" w14:textId="77777777" w:rsidR="001E11FA" w:rsidRDefault="001E11FA" w:rsidP="001A5F33">
      <w:r>
        <w:separator/>
      </w:r>
    </w:p>
  </w:footnote>
  <w:footnote w:type="continuationSeparator" w:id="0">
    <w:p w14:paraId="57DEC4ED" w14:textId="77777777" w:rsidR="001E11FA" w:rsidRDefault="001E11FA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F53103"/>
    <w:multiLevelType w:val="hybridMultilevel"/>
    <w:tmpl w:val="3ADA441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53704622">
    <w:abstractNumId w:val="2"/>
  </w:num>
  <w:num w:numId="2" w16cid:durableId="898827967">
    <w:abstractNumId w:val="0"/>
  </w:num>
  <w:num w:numId="3" w16cid:durableId="412703541">
    <w:abstractNumId w:val="3"/>
  </w:num>
  <w:num w:numId="4" w16cid:durableId="2132092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0248A"/>
    <w:rsid w:val="00080733"/>
    <w:rsid w:val="00094E5F"/>
    <w:rsid w:val="000A41E6"/>
    <w:rsid w:val="000A443E"/>
    <w:rsid w:val="000A6022"/>
    <w:rsid w:val="000D5488"/>
    <w:rsid w:val="000D5E8A"/>
    <w:rsid w:val="000E73C5"/>
    <w:rsid w:val="001322D4"/>
    <w:rsid w:val="00144349"/>
    <w:rsid w:val="001743C6"/>
    <w:rsid w:val="0017543C"/>
    <w:rsid w:val="00191454"/>
    <w:rsid w:val="001A5F33"/>
    <w:rsid w:val="001E11FA"/>
    <w:rsid w:val="001E52AB"/>
    <w:rsid w:val="001F5496"/>
    <w:rsid w:val="001F5FB5"/>
    <w:rsid w:val="002075AB"/>
    <w:rsid w:val="00250EF5"/>
    <w:rsid w:val="002555E5"/>
    <w:rsid w:val="00264DC8"/>
    <w:rsid w:val="0027449F"/>
    <w:rsid w:val="00306D6E"/>
    <w:rsid w:val="003167BA"/>
    <w:rsid w:val="00394C26"/>
    <w:rsid w:val="003A2734"/>
    <w:rsid w:val="003B3ADF"/>
    <w:rsid w:val="00400C29"/>
    <w:rsid w:val="004F5A97"/>
    <w:rsid w:val="00512C3F"/>
    <w:rsid w:val="00532743"/>
    <w:rsid w:val="005428E9"/>
    <w:rsid w:val="005549A2"/>
    <w:rsid w:val="005B420F"/>
    <w:rsid w:val="005B5F4D"/>
    <w:rsid w:val="00612539"/>
    <w:rsid w:val="00622B54"/>
    <w:rsid w:val="0063749D"/>
    <w:rsid w:val="00671857"/>
    <w:rsid w:val="00672F3F"/>
    <w:rsid w:val="0073575C"/>
    <w:rsid w:val="0074309A"/>
    <w:rsid w:val="00746A7B"/>
    <w:rsid w:val="00762199"/>
    <w:rsid w:val="00780DD0"/>
    <w:rsid w:val="00790395"/>
    <w:rsid w:val="007A71C3"/>
    <w:rsid w:val="007B012B"/>
    <w:rsid w:val="007B03D3"/>
    <w:rsid w:val="007D7D0E"/>
    <w:rsid w:val="007F5224"/>
    <w:rsid w:val="0080541A"/>
    <w:rsid w:val="00826D71"/>
    <w:rsid w:val="00863BDA"/>
    <w:rsid w:val="008725E1"/>
    <w:rsid w:val="008D2EBF"/>
    <w:rsid w:val="008F4FEB"/>
    <w:rsid w:val="008F6195"/>
    <w:rsid w:val="00906B75"/>
    <w:rsid w:val="00907F6B"/>
    <w:rsid w:val="009571E0"/>
    <w:rsid w:val="00975F22"/>
    <w:rsid w:val="00987153"/>
    <w:rsid w:val="009A0DEA"/>
    <w:rsid w:val="00A20D63"/>
    <w:rsid w:val="00A95260"/>
    <w:rsid w:val="00AB4EB5"/>
    <w:rsid w:val="00B142D0"/>
    <w:rsid w:val="00B22BC5"/>
    <w:rsid w:val="00B47BED"/>
    <w:rsid w:val="00B87B71"/>
    <w:rsid w:val="00BA0607"/>
    <w:rsid w:val="00BC326D"/>
    <w:rsid w:val="00BC66F3"/>
    <w:rsid w:val="00C4564E"/>
    <w:rsid w:val="00C5264D"/>
    <w:rsid w:val="00C66BF8"/>
    <w:rsid w:val="00C87FB4"/>
    <w:rsid w:val="00C92E7A"/>
    <w:rsid w:val="00CA17D5"/>
    <w:rsid w:val="00D13E36"/>
    <w:rsid w:val="00D16731"/>
    <w:rsid w:val="00D52CE1"/>
    <w:rsid w:val="00D61B01"/>
    <w:rsid w:val="00D707D2"/>
    <w:rsid w:val="00D756AC"/>
    <w:rsid w:val="00D85E17"/>
    <w:rsid w:val="00DF18A9"/>
    <w:rsid w:val="00DF69E5"/>
    <w:rsid w:val="00E46113"/>
    <w:rsid w:val="00E84CA3"/>
    <w:rsid w:val="00EA1F1A"/>
    <w:rsid w:val="00F046BE"/>
    <w:rsid w:val="00F20B38"/>
    <w:rsid w:val="00F21D0D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B87B7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 w:eastAsia="es-ES_tradnl"/>
    </w:rPr>
  </w:style>
  <w:style w:type="character" w:customStyle="1" w:styleId="il">
    <w:name w:val="il"/>
    <w:basedOn w:val="Fuentedeprrafopredeter"/>
    <w:rsid w:val="00B14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9DA2C-9446-2741-99C0-B28D75C57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425</Words>
  <Characters>2514</Characters>
  <Application>Microsoft Office Word</Application>
  <DocSecurity>0</DocSecurity>
  <Lines>67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MARCOS ANTONIO MARTIN FERNANDEZ</cp:lastModifiedBy>
  <cp:revision>47</cp:revision>
  <cp:lastPrinted>2022-06-16T18:10:00Z</cp:lastPrinted>
  <dcterms:created xsi:type="dcterms:W3CDTF">2022-06-16T18:58:00Z</dcterms:created>
  <dcterms:modified xsi:type="dcterms:W3CDTF">2024-11-08T12:17:00Z</dcterms:modified>
</cp:coreProperties>
</file>