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Default="001A5F33">
      <w:pPr>
        <w:rPr>
          <w:lang w:val="es-ES"/>
        </w:rPr>
      </w:pPr>
    </w:p>
    <w:tbl>
      <w:tblPr>
        <w:tblStyle w:val="Tablaconcuadrcula"/>
        <w:tblW w:w="9634" w:type="dxa"/>
        <w:tblLook w:val="04A0" w:firstRow="1" w:lastRow="0" w:firstColumn="1" w:lastColumn="0" w:noHBand="0" w:noVBand="1"/>
      </w:tblPr>
      <w:tblGrid>
        <w:gridCol w:w="1980"/>
        <w:gridCol w:w="7654"/>
      </w:tblGrid>
      <w:tr w:rsidR="00191454" w:rsidRPr="003B68E0" w14:paraId="1713DEC4" w14:textId="77777777" w:rsidTr="00191454">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3B68E0" w14:paraId="3E74CEF6" w14:textId="77777777" w:rsidTr="00044FC2">
        <w:tc>
          <w:tcPr>
            <w:tcW w:w="1980" w:type="dxa"/>
            <w:tcBorders>
              <w:right w:val="nil"/>
            </w:tcBorders>
            <w:vAlign w:val="center"/>
          </w:tcPr>
          <w:p w14:paraId="3283A4D1" w14:textId="4E258795" w:rsidR="00532743" w:rsidRPr="004F5A97" w:rsidRDefault="00532743" w:rsidP="004F5A97">
            <w:pPr>
              <w:rPr>
                <w:b/>
                <w:bCs/>
                <w:sz w:val="22"/>
                <w:szCs w:val="22"/>
                <w:lang w:val="es-ES"/>
              </w:rPr>
            </w:pPr>
            <w:r w:rsidRPr="004F5A97">
              <w:rPr>
                <w:b/>
                <w:bCs/>
                <w:sz w:val="22"/>
                <w:szCs w:val="22"/>
                <w:lang w:val="es-ES"/>
              </w:rPr>
              <w:t>Título:</w:t>
            </w:r>
          </w:p>
        </w:tc>
        <w:tc>
          <w:tcPr>
            <w:tcW w:w="7654" w:type="dxa"/>
            <w:tcBorders>
              <w:left w:val="nil"/>
            </w:tcBorders>
            <w:vAlign w:val="center"/>
          </w:tcPr>
          <w:p w14:paraId="7F56C29C" w14:textId="19B19292" w:rsidR="00532743" w:rsidRPr="006A7AB2" w:rsidRDefault="0036094E" w:rsidP="006A7AB2">
            <w:pPr>
              <w:jc w:val="both"/>
              <w:rPr>
                <w:lang w:val="es-ES"/>
              </w:rPr>
            </w:pPr>
            <w:r w:rsidRPr="0036094E">
              <w:rPr>
                <w:lang w:val="es-ES"/>
              </w:rPr>
              <w:t>Segmentación y análisis de señales de marcha obtenidas con sensores inerciales mediante métodos avanzados de aprendizaje profundo</w:t>
            </w:r>
          </w:p>
        </w:tc>
      </w:tr>
      <w:tr w:rsidR="00191454" w:rsidRPr="00825A4C" w14:paraId="33AEB1BD" w14:textId="77777777" w:rsidTr="00044FC2">
        <w:tc>
          <w:tcPr>
            <w:tcW w:w="1980" w:type="dxa"/>
            <w:tcBorders>
              <w:right w:val="nil"/>
            </w:tcBorders>
            <w:vAlign w:val="center"/>
          </w:tcPr>
          <w:p w14:paraId="2234899D" w14:textId="463AA35E" w:rsidR="00532743" w:rsidRPr="004F5A97" w:rsidRDefault="00532743" w:rsidP="004F5A97">
            <w:pPr>
              <w:rPr>
                <w:b/>
                <w:bCs/>
                <w:sz w:val="22"/>
                <w:szCs w:val="22"/>
                <w:lang w:val="es-ES"/>
              </w:rPr>
            </w:pPr>
            <w:r w:rsidRPr="004F5A97">
              <w:rPr>
                <w:b/>
                <w:bCs/>
                <w:sz w:val="22"/>
                <w:szCs w:val="22"/>
                <w:lang w:val="es-ES"/>
              </w:rPr>
              <w:t>Tutor:</w:t>
            </w:r>
          </w:p>
        </w:tc>
        <w:tc>
          <w:tcPr>
            <w:tcW w:w="7654" w:type="dxa"/>
            <w:tcBorders>
              <w:left w:val="nil"/>
            </w:tcBorders>
            <w:vAlign w:val="center"/>
          </w:tcPr>
          <w:p w14:paraId="54900222" w14:textId="0C7D5291" w:rsidR="00532743" w:rsidRPr="00532743" w:rsidRDefault="006A7AB2" w:rsidP="004F5A97">
            <w:pPr>
              <w:rPr>
                <w:sz w:val="22"/>
                <w:szCs w:val="22"/>
                <w:lang w:val="es-ES"/>
              </w:rPr>
            </w:pPr>
            <w:r>
              <w:rPr>
                <w:sz w:val="22"/>
                <w:szCs w:val="22"/>
                <w:lang w:val="es-ES"/>
              </w:rPr>
              <w:t>Mario Martínez Zarzuela</w:t>
            </w:r>
            <w:r w:rsidR="00825A4C">
              <w:rPr>
                <w:sz w:val="22"/>
                <w:szCs w:val="22"/>
                <w:lang w:val="es-ES"/>
              </w:rPr>
              <w:t xml:space="preserve"> y </w:t>
            </w:r>
            <w:r w:rsidR="00825A4C">
              <w:rPr>
                <w:sz w:val="22"/>
                <w:szCs w:val="22"/>
                <w:lang w:val="es-ES"/>
              </w:rPr>
              <w:t xml:space="preserve">Daniel </w:t>
            </w:r>
            <w:proofErr w:type="spellStart"/>
            <w:r w:rsidR="00825A4C">
              <w:rPr>
                <w:sz w:val="22"/>
                <w:szCs w:val="22"/>
                <w:lang w:val="es-ES"/>
              </w:rPr>
              <w:t>Iordanov</w:t>
            </w:r>
            <w:proofErr w:type="spellEnd"/>
            <w:r w:rsidR="00825A4C">
              <w:rPr>
                <w:sz w:val="22"/>
                <w:szCs w:val="22"/>
                <w:lang w:val="es-ES"/>
              </w:rPr>
              <w:t xml:space="preserve"> López (CEU)</w:t>
            </w:r>
          </w:p>
        </w:tc>
      </w:tr>
      <w:tr w:rsidR="00191454" w:rsidRPr="003B68E0" w14:paraId="7B8F0F8F" w14:textId="77777777" w:rsidTr="00044FC2">
        <w:tc>
          <w:tcPr>
            <w:tcW w:w="1980" w:type="dxa"/>
            <w:tcBorders>
              <w:right w:val="nil"/>
            </w:tcBorders>
            <w:vAlign w:val="center"/>
          </w:tcPr>
          <w:p w14:paraId="4FE55BE7" w14:textId="2912B264" w:rsidR="00532743" w:rsidRPr="004F5A97" w:rsidRDefault="00532743" w:rsidP="004F5A97">
            <w:pPr>
              <w:rPr>
                <w:b/>
                <w:bCs/>
                <w:sz w:val="22"/>
                <w:szCs w:val="22"/>
                <w:lang w:val="es-ES"/>
              </w:rPr>
            </w:pPr>
            <w:r w:rsidRPr="004F5A97">
              <w:rPr>
                <w:b/>
                <w:bCs/>
                <w:sz w:val="22"/>
                <w:szCs w:val="22"/>
                <w:lang w:val="es-ES"/>
              </w:rPr>
              <w:t>Departamento:</w:t>
            </w:r>
          </w:p>
        </w:tc>
        <w:tc>
          <w:tcPr>
            <w:tcW w:w="7654" w:type="dxa"/>
            <w:tcBorders>
              <w:left w:val="nil"/>
            </w:tcBorders>
            <w:vAlign w:val="center"/>
          </w:tcPr>
          <w:p w14:paraId="2D038842" w14:textId="79080173" w:rsidR="006A7AB2" w:rsidRPr="003B7949" w:rsidRDefault="006A7AB2" w:rsidP="004F5A97">
            <w:pPr>
              <w:rPr>
                <w:sz w:val="22"/>
                <w:szCs w:val="22"/>
                <w:lang w:val="es-ES"/>
              </w:rPr>
            </w:pPr>
            <w:r w:rsidRPr="003B7949">
              <w:rPr>
                <w:sz w:val="22"/>
                <w:szCs w:val="22"/>
                <w:lang w:val="es-ES"/>
              </w:rPr>
              <w:t>Teoría de la Señal y Comunicaciones e Ingeniería Telemática</w:t>
            </w:r>
            <w:r w:rsidR="00F54347" w:rsidRPr="003B7949">
              <w:rPr>
                <w:sz w:val="22"/>
                <w:szCs w:val="22"/>
                <w:lang w:val="es-ES"/>
              </w:rPr>
              <w:t xml:space="preserve"> (Uva)</w:t>
            </w:r>
          </w:p>
        </w:tc>
      </w:tr>
      <w:tr w:rsidR="00191454" w:rsidRPr="003B68E0" w14:paraId="39411455" w14:textId="77777777" w:rsidTr="00044FC2">
        <w:tc>
          <w:tcPr>
            <w:tcW w:w="1980" w:type="dxa"/>
            <w:tcBorders>
              <w:right w:val="nil"/>
            </w:tcBorders>
            <w:vAlign w:val="center"/>
          </w:tcPr>
          <w:p w14:paraId="3A54DB02" w14:textId="1D3DBABF" w:rsidR="00532743" w:rsidRPr="004F5A97" w:rsidRDefault="00532743" w:rsidP="004F5A97">
            <w:pPr>
              <w:rPr>
                <w:b/>
                <w:bCs/>
                <w:sz w:val="22"/>
                <w:szCs w:val="22"/>
                <w:lang w:val="es-ES"/>
              </w:rPr>
            </w:pPr>
            <w:r w:rsidRPr="004F5A97">
              <w:rPr>
                <w:b/>
                <w:bCs/>
                <w:sz w:val="22"/>
                <w:szCs w:val="22"/>
                <w:lang w:val="es-ES"/>
              </w:rPr>
              <w:t>Resumen (máx. 150 palabras):</w:t>
            </w:r>
          </w:p>
        </w:tc>
        <w:tc>
          <w:tcPr>
            <w:tcW w:w="7654" w:type="dxa"/>
            <w:tcBorders>
              <w:left w:val="nil"/>
            </w:tcBorders>
            <w:vAlign w:val="center"/>
          </w:tcPr>
          <w:p w14:paraId="6462B184" w14:textId="544778F4" w:rsidR="00191454" w:rsidRPr="00532743" w:rsidRDefault="0015251E" w:rsidP="0015251E">
            <w:pPr>
              <w:jc w:val="both"/>
              <w:rPr>
                <w:sz w:val="22"/>
                <w:szCs w:val="22"/>
                <w:lang w:val="es-ES"/>
              </w:rPr>
            </w:pPr>
            <w:r w:rsidRPr="0015251E">
              <w:rPr>
                <w:sz w:val="22"/>
                <w:szCs w:val="22"/>
                <w:lang w:val="es-ES"/>
              </w:rPr>
              <w:t>El análisis del movimiento mediante unidades de medición inercial (IMU) se presenta como una alternativa a los sistemas ópticos tradicionales, ofreciendo ventajas como mayor portabilidad y menor costo. Aunque existen sistemas comerciales capaces de segmentar las fases de la marcha y proporcionar un análisis estándar de la cinemática humana, su elevado precio y la necesidad de formación específica para su interpretación limitan su accesibilidad en el ámbito clínico. Además, estos sistemas no permiten configuraciones personalizadas ni brindan acceso a los criterios utilizados para procesar la información adquirida.</w:t>
            </w:r>
            <w:r w:rsidR="00964AB4">
              <w:rPr>
                <w:sz w:val="22"/>
                <w:szCs w:val="22"/>
                <w:lang w:val="es-ES"/>
              </w:rPr>
              <w:t xml:space="preserve"> </w:t>
            </w:r>
            <w:r w:rsidRPr="0015251E">
              <w:rPr>
                <w:sz w:val="22"/>
                <w:szCs w:val="22"/>
                <w:lang w:val="es-ES"/>
              </w:rPr>
              <w:t>En este Trabajo de Fin de Grado (TFG) se propone el uso de métodos estadísticos para facilitar la interpretación de las curvas cinemáticas por parte del personal clínico, así como la aplicación de técnicas de aprendizaje profundo para la segmentación automática de las fases de la marcha</w:t>
            </w:r>
            <w:r w:rsidR="00964AB4">
              <w:rPr>
                <w:sz w:val="22"/>
                <w:szCs w:val="22"/>
                <w:lang w:val="es-ES"/>
              </w:rPr>
              <w:t xml:space="preserve"> a partir de los datos de estos sensores.</w:t>
            </w:r>
          </w:p>
        </w:tc>
      </w:tr>
      <w:tr w:rsidR="00191454" w:rsidRPr="003B68E0" w14:paraId="568B6061" w14:textId="77777777" w:rsidTr="00044FC2">
        <w:tc>
          <w:tcPr>
            <w:tcW w:w="1980" w:type="dxa"/>
            <w:tcBorders>
              <w:right w:val="nil"/>
            </w:tcBorders>
            <w:vAlign w:val="center"/>
          </w:tcPr>
          <w:p w14:paraId="1B8B8612" w14:textId="77777777" w:rsidR="004F5A97" w:rsidRPr="004F5A97" w:rsidRDefault="004F5A97" w:rsidP="00D44E97">
            <w:pPr>
              <w:rPr>
                <w:b/>
                <w:bCs/>
                <w:sz w:val="22"/>
                <w:szCs w:val="22"/>
                <w:lang w:val="es-ES"/>
              </w:rPr>
            </w:pPr>
            <w:r w:rsidRPr="004F5A97">
              <w:rPr>
                <w:b/>
                <w:bCs/>
                <w:sz w:val="22"/>
                <w:szCs w:val="22"/>
                <w:lang w:val="es-ES"/>
              </w:rPr>
              <w:t>Palabras clave:</w:t>
            </w:r>
          </w:p>
        </w:tc>
        <w:tc>
          <w:tcPr>
            <w:tcW w:w="7654" w:type="dxa"/>
            <w:tcBorders>
              <w:left w:val="nil"/>
            </w:tcBorders>
            <w:vAlign w:val="center"/>
          </w:tcPr>
          <w:p w14:paraId="52A31C8E" w14:textId="77B23D18" w:rsidR="00C86C14" w:rsidRPr="00532743" w:rsidRDefault="002A0C1A" w:rsidP="00D44E97">
            <w:pPr>
              <w:rPr>
                <w:sz w:val="22"/>
                <w:szCs w:val="22"/>
                <w:lang w:val="es-ES"/>
              </w:rPr>
            </w:pPr>
            <w:r>
              <w:rPr>
                <w:sz w:val="22"/>
                <w:szCs w:val="22"/>
                <w:lang w:val="es-ES"/>
              </w:rPr>
              <w:t>IMU</w:t>
            </w:r>
            <w:r w:rsidR="00C86C14">
              <w:rPr>
                <w:sz w:val="22"/>
                <w:szCs w:val="22"/>
                <w:lang w:val="es-ES"/>
              </w:rPr>
              <w:t>, marcha, posición/colocación</w:t>
            </w:r>
            <w:r w:rsidR="00BE72C0">
              <w:rPr>
                <w:sz w:val="22"/>
                <w:szCs w:val="22"/>
                <w:lang w:val="es-ES"/>
              </w:rPr>
              <w:t>, precisión</w:t>
            </w:r>
            <w:r w:rsidR="00C54CC4">
              <w:rPr>
                <w:sz w:val="22"/>
                <w:szCs w:val="22"/>
                <w:lang w:val="es-ES"/>
              </w:rPr>
              <w:t>, extremidad inferior, pierna</w:t>
            </w:r>
          </w:p>
        </w:tc>
      </w:tr>
      <w:tr w:rsidR="00191454" w:rsidRPr="003B68E0" w14:paraId="3AC08E72" w14:textId="77777777" w:rsidTr="00044FC2">
        <w:tc>
          <w:tcPr>
            <w:tcW w:w="1980" w:type="dxa"/>
            <w:tcBorders>
              <w:right w:val="nil"/>
            </w:tcBorders>
            <w:vAlign w:val="center"/>
          </w:tcPr>
          <w:p w14:paraId="21FE42D4" w14:textId="41A8F7E1" w:rsidR="00532743" w:rsidRPr="004F5A97" w:rsidRDefault="004F5A97" w:rsidP="004F5A97">
            <w:pPr>
              <w:rPr>
                <w:b/>
                <w:bCs/>
                <w:sz w:val="22"/>
                <w:szCs w:val="22"/>
                <w:lang w:val="es-ES"/>
              </w:rPr>
            </w:pPr>
            <w:r>
              <w:rPr>
                <w:b/>
                <w:bCs/>
                <w:sz w:val="22"/>
                <w:szCs w:val="22"/>
                <w:lang w:val="es-ES"/>
              </w:rPr>
              <w:t>Competencias del Título que el TFG desarrolla más profundamente (máx. 4)</w:t>
            </w:r>
          </w:p>
        </w:tc>
        <w:tc>
          <w:tcPr>
            <w:tcW w:w="7654" w:type="dxa"/>
            <w:tcBorders>
              <w:left w:val="nil"/>
            </w:tcBorders>
            <w:vAlign w:val="center"/>
          </w:tcPr>
          <w:p w14:paraId="34259852" w14:textId="77777777" w:rsidR="0093623C" w:rsidRPr="001953AC" w:rsidRDefault="0093623C" w:rsidP="0093623C">
            <w:pPr>
              <w:autoSpaceDE w:val="0"/>
              <w:autoSpaceDN w:val="0"/>
              <w:adjustRightInd w:val="0"/>
              <w:ind w:left="993" w:hanging="567"/>
              <w:jc w:val="both"/>
              <w:rPr>
                <w:rFonts w:ascii="Arial" w:hAnsi="Arial" w:cs="Arial"/>
                <w:sz w:val="18"/>
                <w:szCs w:val="18"/>
                <w:lang w:val="es-ES"/>
              </w:rPr>
            </w:pPr>
            <w:r w:rsidRPr="001953AC">
              <w:rPr>
                <w:rFonts w:ascii="Arial" w:hAnsi="Arial" w:cs="Arial"/>
                <w:sz w:val="18"/>
                <w:szCs w:val="18"/>
                <w:lang w:val="es-ES"/>
              </w:rPr>
              <w:t>CB2. Que los estudiantes sepan aplicar sus conocimientos a su trabajo o vocación de una forma profesional y posean las competencias que suelen demostrarse por medio de la elaboración y defensa de argumentos y la resolución de problemas dentro de su área de estudio.</w:t>
            </w:r>
          </w:p>
          <w:p w14:paraId="21514E98" w14:textId="77777777" w:rsidR="0093623C" w:rsidRPr="00963DAE" w:rsidRDefault="0093623C" w:rsidP="0093623C">
            <w:pPr>
              <w:autoSpaceDE w:val="0"/>
              <w:autoSpaceDN w:val="0"/>
              <w:adjustRightInd w:val="0"/>
              <w:ind w:left="993" w:hanging="567"/>
              <w:jc w:val="both"/>
              <w:rPr>
                <w:rFonts w:ascii="Arial" w:hAnsi="Arial" w:cs="Arial"/>
                <w:sz w:val="18"/>
                <w:szCs w:val="18"/>
                <w:lang w:val="es-ES"/>
              </w:rPr>
            </w:pPr>
            <w:r w:rsidRPr="00963DAE">
              <w:rPr>
                <w:rFonts w:ascii="Arial" w:hAnsi="Arial" w:cs="Arial"/>
                <w:sz w:val="18"/>
                <w:szCs w:val="18"/>
                <w:lang w:val="es-ES"/>
              </w:rPr>
              <w:t>CG5. Adquirir, analizar, interpretar y gestionar información.</w:t>
            </w:r>
          </w:p>
          <w:p w14:paraId="4740D7AA" w14:textId="77777777" w:rsidR="0093623C" w:rsidRPr="001953AC" w:rsidRDefault="0093623C" w:rsidP="0093623C">
            <w:pPr>
              <w:autoSpaceDE w:val="0"/>
              <w:autoSpaceDN w:val="0"/>
              <w:adjustRightInd w:val="0"/>
              <w:ind w:left="993" w:hanging="567"/>
              <w:jc w:val="both"/>
              <w:rPr>
                <w:rFonts w:ascii="Arial" w:hAnsi="Arial" w:cs="Arial"/>
                <w:sz w:val="18"/>
                <w:szCs w:val="18"/>
                <w:lang w:val="es-ES"/>
              </w:rPr>
            </w:pPr>
            <w:r w:rsidRPr="001953AC">
              <w:rPr>
                <w:rFonts w:ascii="Arial" w:hAnsi="Arial" w:cs="Arial"/>
                <w:sz w:val="18"/>
                <w:szCs w:val="18"/>
                <w:lang w:val="es-ES"/>
              </w:rPr>
              <w:t>CT2. Capacidad de organizar y planificar su trabajo tomando las decisiones correctas basadas en la información disponible, reuniendo e interpretando datos relevantes para emitir juicios dentro de su área de estudio.</w:t>
            </w:r>
          </w:p>
          <w:p w14:paraId="32567B2F" w14:textId="31E57261" w:rsidR="006A7AB2" w:rsidRPr="0093623C" w:rsidRDefault="0093623C" w:rsidP="0093623C">
            <w:pPr>
              <w:autoSpaceDE w:val="0"/>
              <w:autoSpaceDN w:val="0"/>
              <w:adjustRightInd w:val="0"/>
              <w:ind w:left="993" w:hanging="567"/>
              <w:jc w:val="both"/>
              <w:rPr>
                <w:rFonts w:ascii="Arial" w:hAnsi="Arial" w:cs="Arial"/>
                <w:sz w:val="18"/>
                <w:szCs w:val="18"/>
                <w:lang w:val="es-ES"/>
              </w:rPr>
            </w:pPr>
            <w:r w:rsidRPr="0099701D">
              <w:rPr>
                <w:rFonts w:ascii="Arial" w:hAnsi="Arial" w:cs="Arial"/>
                <w:sz w:val="18"/>
                <w:szCs w:val="18"/>
                <w:lang w:val="es-ES"/>
              </w:rPr>
              <w:t xml:space="preserve">CE32. </w:t>
            </w:r>
            <w:r w:rsidRPr="0099701D">
              <w:rPr>
                <w:rFonts w:ascii="Arial" w:hAnsi="Arial" w:cs="Arial"/>
                <w:sz w:val="18"/>
                <w:szCs w:val="18"/>
                <w:lang w:val="es-ES" w:eastAsia="es-ES_tradnl"/>
              </w:rPr>
              <w:t>Desarrollar la capacidad de realizar individualmente, presentar y defender, ante un tribunal universitario, un proyecto en el ámbito de las tecnologías específicas de la Ingeniería Biomédica de naturaleza profesional en el que se sinteticen e integren las competencias adquiridas</w:t>
            </w:r>
            <w:r w:rsidRPr="0099701D">
              <w:rPr>
                <w:rFonts w:ascii="Arial" w:hAnsi="Arial" w:cs="Arial"/>
                <w:sz w:val="18"/>
                <w:szCs w:val="18"/>
                <w:lang w:val="es-ES"/>
              </w:rPr>
              <w:t>.</w:t>
            </w:r>
          </w:p>
        </w:tc>
      </w:tr>
      <w:tr w:rsidR="00191454" w:rsidRPr="003B68E0" w14:paraId="78AA7326" w14:textId="77777777" w:rsidTr="00191454">
        <w:tc>
          <w:tcPr>
            <w:tcW w:w="9634" w:type="dxa"/>
            <w:gridSpan w:val="2"/>
            <w:vAlign w:val="center"/>
          </w:tcPr>
          <w:p w14:paraId="1E91F12D" w14:textId="77777777" w:rsidR="00532743" w:rsidRPr="004F5A97" w:rsidRDefault="00532743" w:rsidP="004F5A97">
            <w:pPr>
              <w:rPr>
                <w:sz w:val="12"/>
                <w:szCs w:val="12"/>
                <w:lang w:val="es-ES"/>
              </w:rPr>
            </w:pPr>
          </w:p>
          <w:p w14:paraId="66B36FBA" w14:textId="265F964C" w:rsidR="00532743" w:rsidRPr="00394C26" w:rsidRDefault="004F5A97" w:rsidP="004F5A97">
            <w:pPr>
              <w:rPr>
                <w:b/>
                <w:bCs/>
                <w:sz w:val="22"/>
                <w:szCs w:val="22"/>
                <w:lang w:val="es-ES"/>
              </w:rPr>
            </w:pPr>
            <w:r w:rsidRPr="00394C26">
              <w:rPr>
                <w:b/>
                <w:bCs/>
                <w:sz w:val="22"/>
                <w:szCs w:val="22"/>
                <w:lang w:val="es-ES"/>
              </w:rPr>
              <w:t>…………</w:t>
            </w:r>
            <w:proofErr w:type="gramStart"/>
            <w:r w:rsidR="00532743" w:rsidRPr="00394C26">
              <w:rPr>
                <w:rFonts w:ascii="Wingdings" w:hAnsi="Wingdings" w:cs="Wingdings"/>
                <w:b/>
                <w:bCs/>
                <w:color w:val="000000" w:themeColor="text1"/>
              </w:rPr>
              <w:t></w:t>
            </w:r>
            <w:r w:rsidR="00532743" w:rsidRPr="00394C26">
              <w:rPr>
                <w:b/>
                <w:bCs/>
                <w:color w:val="000000" w:themeColor="text1"/>
                <w:sz w:val="22"/>
                <w:szCs w:val="22"/>
                <w:lang w:val="es-ES"/>
              </w:rPr>
              <w:t xml:space="preserve">  </w:t>
            </w:r>
            <w:r w:rsidR="00532743" w:rsidRPr="00394C26">
              <w:rPr>
                <w:b/>
                <w:bCs/>
                <w:sz w:val="22"/>
                <w:szCs w:val="22"/>
                <w:lang w:val="es-ES"/>
              </w:rPr>
              <w:t>Asociado</w:t>
            </w:r>
            <w:proofErr w:type="gramEnd"/>
            <w:r w:rsidR="00532743" w:rsidRPr="00394C26">
              <w:rPr>
                <w:b/>
                <w:bCs/>
                <w:sz w:val="22"/>
                <w:szCs w:val="22"/>
                <w:lang w:val="es-ES"/>
              </w:rPr>
              <w:t xml:space="preserve"> a Prácticas Externas</w:t>
            </w:r>
          </w:p>
          <w:p w14:paraId="3C15AAB3" w14:textId="36E7CA34" w:rsidR="00394C26" w:rsidRDefault="00394C26" w:rsidP="004F5A97">
            <w:pPr>
              <w:rPr>
                <w:sz w:val="22"/>
                <w:szCs w:val="22"/>
                <w:lang w:val="es-ES"/>
              </w:rPr>
            </w:pPr>
            <w:r>
              <w:rPr>
                <w:sz w:val="22"/>
                <w:szCs w:val="22"/>
                <w:lang w:val="es-ES"/>
              </w:rPr>
              <w:t xml:space="preserve">                       Nombre del estudiante preasignado</w:t>
            </w:r>
            <w:r w:rsidR="00F20B38">
              <w:rPr>
                <w:sz w:val="22"/>
                <w:szCs w:val="22"/>
                <w:lang w:val="es-ES"/>
              </w:rPr>
              <w:t xml:space="preserve"> (si procede)</w:t>
            </w:r>
            <w:r>
              <w:rPr>
                <w:sz w:val="22"/>
                <w:szCs w:val="22"/>
                <w:lang w:val="es-ES"/>
              </w:rPr>
              <w:t>:</w:t>
            </w:r>
            <w:r w:rsidR="006A7AB2">
              <w:rPr>
                <w:sz w:val="22"/>
                <w:szCs w:val="22"/>
                <w:lang w:val="es-ES"/>
              </w:rPr>
              <w:t xml:space="preserve"> </w:t>
            </w:r>
            <w:r w:rsidR="0093623C">
              <w:rPr>
                <w:sz w:val="22"/>
                <w:szCs w:val="22"/>
                <w:lang w:val="es-ES"/>
              </w:rPr>
              <w:t xml:space="preserve">Celia Mazariegos </w:t>
            </w:r>
            <w:r w:rsidR="007A2BC9">
              <w:rPr>
                <w:sz w:val="22"/>
                <w:szCs w:val="22"/>
                <w:lang w:val="es-ES"/>
              </w:rPr>
              <w:t>Iglesias</w:t>
            </w:r>
          </w:p>
          <w:p w14:paraId="2A5E247C" w14:textId="365B46AF" w:rsidR="004F5A97" w:rsidRPr="00532743" w:rsidRDefault="004F5A97" w:rsidP="004F5A97">
            <w:pPr>
              <w:rPr>
                <w:sz w:val="22"/>
                <w:szCs w:val="22"/>
                <w:lang w:val="es-ES"/>
              </w:rPr>
            </w:pPr>
          </w:p>
        </w:tc>
      </w:tr>
    </w:tbl>
    <w:p w14:paraId="52F0FDEA" w14:textId="77777777" w:rsidR="004F5A97" w:rsidRDefault="004F5A97" w:rsidP="004F5A97">
      <w:pPr>
        <w:jc w:val="both"/>
        <w:rPr>
          <w:lang w:val="es-ES"/>
        </w:rPr>
      </w:pPr>
    </w:p>
    <w:tbl>
      <w:tblPr>
        <w:tblStyle w:val="Tablaconcuadrcula"/>
        <w:tblW w:w="9634" w:type="dxa"/>
        <w:tblLook w:val="04A0" w:firstRow="1" w:lastRow="0" w:firstColumn="1" w:lastColumn="0" w:noHBand="0" w:noVBand="1"/>
      </w:tblPr>
      <w:tblGrid>
        <w:gridCol w:w="1838"/>
        <w:gridCol w:w="7796"/>
      </w:tblGrid>
      <w:tr w:rsidR="00191454" w:rsidRPr="003B68E0"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191454" w14:paraId="65F915EF" w14:textId="77777777" w:rsidTr="00FD240B">
        <w:trPr>
          <w:trHeight w:val="567"/>
        </w:trPr>
        <w:tc>
          <w:tcPr>
            <w:tcW w:w="1838" w:type="dxa"/>
            <w:tcBorders>
              <w:right w:val="nil"/>
            </w:tcBorders>
            <w:vAlign w:val="center"/>
          </w:tcPr>
          <w:p w14:paraId="77CAE734" w14:textId="5F84DC82" w:rsidR="004F5A97" w:rsidRPr="004F5A97" w:rsidRDefault="00394C26" w:rsidP="00D44E97">
            <w:pPr>
              <w:rPr>
                <w:b/>
                <w:bCs/>
                <w:sz w:val="22"/>
                <w:szCs w:val="22"/>
                <w:lang w:val="es-ES"/>
              </w:rPr>
            </w:pPr>
            <w:r>
              <w:rPr>
                <w:b/>
                <w:bCs/>
                <w:sz w:val="22"/>
                <w:szCs w:val="22"/>
                <w:lang w:val="es-ES"/>
              </w:rPr>
              <w:t>Presidente</w:t>
            </w:r>
            <w:r w:rsidR="004F5A97" w:rsidRPr="004F5A97">
              <w:rPr>
                <w:b/>
                <w:bCs/>
                <w:sz w:val="22"/>
                <w:szCs w:val="22"/>
                <w:lang w:val="es-ES"/>
              </w:rPr>
              <w:t>:</w:t>
            </w:r>
            <w:r w:rsidR="00E453DE">
              <w:rPr>
                <w:b/>
                <w:bCs/>
                <w:sz w:val="22"/>
                <w:szCs w:val="22"/>
                <w:lang w:val="es-ES"/>
              </w:rPr>
              <w:t xml:space="preserve"> </w:t>
            </w:r>
            <w:r w:rsidR="00914F83">
              <w:rPr>
                <w:b/>
                <w:bCs/>
                <w:sz w:val="22"/>
                <w:szCs w:val="22"/>
                <w:lang w:val="es-ES"/>
              </w:rPr>
              <w:t xml:space="preserve"> </w:t>
            </w:r>
          </w:p>
        </w:tc>
        <w:tc>
          <w:tcPr>
            <w:tcW w:w="7796" w:type="dxa"/>
            <w:tcBorders>
              <w:left w:val="nil"/>
            </w:tcBorders>
            <w:vAlign w:val="center"/>
          </w:tcPr>
          <w:p w14:paraId="39B4BE66" w14:textId="0136EF0F" w:rsidR="004F5A97" w:rsidRPr="00532743" w:rsidRDefault="000D331F" w:rsidP="00D44E97">
            <w:pPr>
              <w:rPr>
                <w:sz w:val="22"/>
                <w:szCs w:val="22"/>
                <w:lang w:val="es-ES"/>
              </w:rPr>
            </w:pPr>
            <w:r>
              <w:rPr>
                <w:sz w:val="22"/>
                <w:szCs w:val="22"/>
                <w:lang w:val="es-ES"/>
              </w:rPr>
              <w:t>Rodrigo de Luis García</w:t>
            </w:r>
          </w:p>
        </w:tc>
      </w:tr>
      <w:tr w:rsidR="00191454" w14:paraId="1A5DFC4D" w14:textId="77777777" w:rsidTr="00FD240B">
        <w:trPr>
          <w:trHeight w:val="567"/>
        </w:trPr>
        <w:tc>
          <w:tcPr>
            <w:tcW w:w="1838" w:type="dxa"/>
            <w:tcBorders>
              <w:right w:val="nil"/>
            </w:tcBorders>
            <w:vAlign w:val="center"/>
          </w:tcPr>
          <w:p w14:paraId="1FCB6B96" w14:textId="6CC9E87C" w:rsidR="004F5A97" w:rsidRPr="004F5A97" w:rsidRDefault="00394C26" w:rsidP="00D44E97">
            <w:pPr>
              <w:rPr>
                <w:b/>
                <w:bCs/>
                <w:sz w:val="22"/>
                <w:szCs w:val="22"/>
                <w:lang w:val="es-ES"/>
              </w:rPr>
            </w:pPr>
            <w:r>
              <w:rPr>
                <w:b/>
                <w:bCs/>
                <w:sz w:val="22"/>
                <w:szCs w:val="22"/>
                <w:lang w:val="es-ES"/>
              </w:rPr>
              <w:t>Secretario</w:t>
            </w:r>
            <w:r w:rsidR="004F5A97" w:rsidRPr="004F5A97">
              <w:rPr>
                <w:b/>
                <w:bCs/>
                <w:sz w:val="22"/>
                <w:szCs w:val="22"/>
                <w:lang w:val="es-ES"/>
              </w:rPr>
              <w:t>:</w:t>
            </w:r>
            <w:r w:rsidR="002E32AF">
              <w:rPr>
                <w:b/>
                <w:bCs/>
                <w:sz w:val="22"/>
                <w:szCs w:val="22"/>
                <w:lang w:val="es-ES"/>
              </w:rPr>
              <w:t xml:space="preserve"> </w:t>
            </w:r>
          </w:p>
        </w:tc>
        <w:tc>
          <w:tcPr>
            <w:tcW w:w="7796" w:type="dxa"/>
            <w:tcBorders>
              <w:left w:val="nil"/>
            </w:tcBorders>
            <w:vAlign w:val="center"/>
          </w:tcPr>
          <w:p w14:paraId="2A51ACC6" w14:textId="566BD5A3" w:rsidR="004F5A97" w:rsidRPr="00FD240B" w:rsidRDefault="002E32AF" w:rsidP="00D44E97">
            <w:pPr>
              <w:rPr>
                <w:sz w:val="22"/>
                <w:szCs w:val="22"/>
                <w:lang w:val="es-ES"/>
              </w:rPr>
            </w:pPr>
            <w:r w:rsidRPr="00FD240B">
              <w:rPr>
                <w:sz w:val="22"/>
                <w:szCs w:val="22"/>
                <w:lang w:val="es-ES"/>
              </w:rPr>
              <w:t>Mario Martínez Zarzuela</w:t>
            </w:r>
          </w:p>
        </w:tc>
      </w:tr>
      <w:tr w:rsidR="00191454" w:rsidRPr="000D331F" w14:paraId="290C9998" w14:textId="77777777" w:rsidTr="00FD240B">
        <w:trPr>
          <w:trHeight w:val="567"/>
        </w:trPr>
        <w:tc>
          <w:tcPr>
            <w:tcW w:w="1838" w:type="dxa"/>
            <w:tcBorders>
              <w:right w:val="nil"/>
            </w:tcBorders>
            <w:vAlign w:val="center"/>
          </w:tcPr>
          <w:p w14:paraId="22A4DDAE" w14:textId="02C47B8C" w:rsidR="004F5A97" w:rsidRPr="004F5A97" w:rsidRDefault="00394C26" w:rsidP="00D44E97">
            <w:pPr>
              <w:rPr>
                <w:b/>
                <w:bCs/>
                <w:sz w:val="22"/>
                <w:szCs w:val="22"/>
                <w:lang w:val="es-ES"/>
              </w:rPr>
            </w:pPr>
            <w:r>
              <w:rPr>
                <w:b/>
                <w:bCs/>
                <w:sz w:val="22"/>
                <w:szCs w:val="22"/>
                <w:lang w:val="es-ES"/>
              </w:rPr>
              <w:t>Vocal</w:t>
            </w:r>
            <w:r w:rsidR="004F5A97" w:rsidRPr="004F5A97">
              <w:rPr>
                <w:b/>
                <w:bCs/>
                <w:sz w:val="22"/>
                <w:szCs w:val="22"/>
                <w:lang w:val="es-ES"/>
              </w:rPr>
              <w:t>:</w:t>
            </w:r>
          </w:p>
        </w:tc>
        <w:tc>
          <w:tcPr>
            <w:tcW w:w="7796" w:type="dxa"/>
            <w:tcBorders>
              <w:left w:val="nil"/>
            </w:tcBorders>
            <w:vAlign w:val="center"/>
          </w:tcPr>
          <w:p w14:paraId="0C014DA6" w14:textId="6F16D573" w:rsidR="004F5A97" w:rsidRPr="00532743" w:rsidRDefault="000D331F" w:rsidP="00D44E97">
            <w:pPr>
              <w:rPr>
                <w:sz w:val="22"/>
                <w:szCs w:val="22"/>
                <w:lang w:val="es-ES"/>
              </w:rPr>
            </w:pPr>
            <w:r>
              <w:rPr>
                <w:sz w:val="22"/>
                <w:szCs w:val="22"/>
                <w:lang w:val="es-ES"/>
              </w:rPr>
              <w:t xml:space="preserve">Luis Fernando </w:t>
            </w:r>
            <w:r w:rsidR="00B458FE">
              <w:rPr>
                <w:sz w:val="22"/>
                <w:szCs w:val="22"/>
                <w:lang w:val="es-ES"/>
              </w:rPr>
              <w:t xml:space="preserve">Hevia </w:t>
            </w:r>
            <w:r>
              <w:rPr>
                <w:sz w:val="22"/>
                <w:szCs w:val="22"/>
                <w:lang w:val="es-ES"/>
              </w:rPr>
              <w:t>de los Mozos</w:t>
            </w:r>
          </w:p>
        </w:tc>
      </w:tr>
      <w:tr w:rsidR="00191454" w14:paraId="2A2E43DE" w14:textId="77777777" w:rsidTr="00FD240B">
        <w:trPr>
          <w:trHeight w:val="567"/>
        </w:trPr>
        <w:tc>
          <w:tcPr>
            <w:tcW w:w="1838" w:type="dxa"/>
            <w:tcBorders>
              <w:right w:val="nil"/>
            </w:tcBorders>
            <w:vAlign w:val="center"/>
          </w:tcPr>
          <w:p w14:paraId="636D3036" w14:textId="5C3BD544" w:rsidR="004F5A97" w:rsidRPr="004F5A97" w:rsidRDefault="00394C26" w:rsidP="00D44E97">
            <w:pPr>
              <w:rPr>
                <w:b/>
                <w:bCs/>
                <w:sz w:val="22"/>
                <w:szCs w:val="22"/>
                <w:lang w:val="es-ES"/>
              </w:rPr>
            </w:pPr>
            <w:r>
              <w:rPr>
                <w:b/>
                <w:bCs/>
                <w:sz w:val="22"/>
                <w:szCs w:val="22"/>
                <w:lang w:val="es-ES"/>
              </w:rPr>
              <w:t>Suplente 1</w:t>
            </w:r>
            <w:r w:rsidR="004F5A97" w:rsidRPr="004F5A97">
              <w:rPr>
                <w:b/>
                <w:bCs/>
                <w:sz w:val="22"/>
                <w:szCs w:val="22"/>
                <w:lang w:val="es-ES"/>
              </w:rPr>
              <w:t>:</w:t>
            </w:r>
          </w:p>
        </w:tc>
        <w:tc>
          <w:tcPr>
            <w:tcW w:w="7796" w:type="dxa"/>
            <w:tcBorders>
              <w:left w:val="nil"/>
            </w:tcBorders>
            <w:vAlign w:val="center"/>
          </w:tcPr>
          <w:p w14:paraId="097A0C15" w14:textId="14E719E4" w:rsidR="004F5A97" w:rsidRPr="00532743" w:rsidRDefault="006B0F9D" w:rsidP="00D44E97">
            <w:pPr>
              <w:rPr>
                <w:sz w:val="22"/>
                <w:szCs w:val="22"/>
                <w:lang w:val="es-ES"/>
              </w:rPr>
            </w:pPr>
            <w:r>
              <w:rPr>
                <w:sz w:val="22"/>
                <w:szCs w:val="22"/>
                <w:lang w:val="es-ES"/>
              </w:rPr>
              <w:t xml:space="preserve">María García </w:t>
            </w:r>
            <w:proofErr w:type="spellStart"/>
            <w:r>
              <w:rPr>
                <w:sz w:val="22"/>
                <w:szCs w:val="22"/>
                <w:lang w:val="es-ES"/>
              </w:rPr>
              <w:t>Gadañón</w:t>
            </w:r>
            <w:proofErr w:type="spellEnd"/>
          </w:p>
        </w:tc>
      </w:tr>
      <w:tr w:rsidR="00191454" w14:paraId="558C1512" w14:textId="77777777" w:rsidTr="00FD240B">
        <w:trPr>
          <w:trHeight w:val="567"/>
        </w:trPr>
        <w:tc>
          <w:tcPr>
            <w:tcW w:w="1838" w:type="dxa"/>
            <w:tcBorders>
              <w:right w:val="nil"/>
            </w:tcBorders>
            <w:vAlign w:val="center"/>
          </w:tcPr>
          <w:p w14:paraId="4BEE6501" w14:textId="096152E5" w:rsidR="004F5A97" w:rsidRPr="004F5A97" w:rsidRDefault="00394C26" w:rsidP="00D44E97">
            <w:pPr>
              <w:rPr>
                <w:b/>
                <w:bCs/>
                <w:sz w:val="22"/>
                <w:szCs w:val="22"/>
                <w:lang w:val="es-ES"/>
              </w:rPr>
            </w:pPr>
            <w:r>
              <w:rPr>
                <w:b/>
                <w:bCs/>
                <w:sz w:val="22"/>
                <w:szCs w:val="22"/>
                <w:lang w:val="es-ES"/>
              </w:rPr>
              <w:lastRenderedPageBreak/>
              <w:t>Suplente 2</w:t>
            </w:r>
            <w:r w:rsidR="004F5A97" w:rsidRPr="004F5A97">
              <w:rPr>
                <w:b/>
                <w:bCs/>
                <w:sz w:val="22"/>
                <w:szCs w:val="22"/>
                <w:lang w:val="es-ES"/>
              </w:rPr>
              <w:t>:</w:t>
            </w:r>
          </w:p>
        </w:tc>
        <w:tc>
          <w:tcPr>
            <w:tcW w:w="7796" w:type="dxa"/>
            <w:tcBorders>
              <w:left w:val="nil"/>
            </w:tcBorders>
            <w:vAlign w:val="center"/>
          </w:tcPr>
          <w:p w14:paraId="13A5AA89" w14:textId="1F5A5212" w:rsidR="00394C26" w:rsidRPr="00532743" w:rsidRDefault="000D331F" w:rsidP="00D44E97">
            <w:pPr>
              <w:rPr>
                <w:sz w:val="22"/>
                <w:szCs w:val="22"/>
                <w:lang w:val="es-ES"/>
              </w:rPr>
            </w:pPr>
            <w:r>
              <w:rPr>
                <w:sz w:val="22"/>
                <w:szCs w:val="22"/>
                <w:lang w:val="es-ES"/>
              </w:rPr>
              <w:t>Alberto Mansilla Gallo</w:t>
            </w:r>
          </w:p>
        </w:tc>
      </w:tr>
    </w:tbl>
    <w:p w14:paraId="4A9BC853" w14:textId="317B9D2F" w:rsidR="00C4564E" w:rsidRPr="00790395" w:rsidRDefault="00394C26" w:rsidP="00394C26">
      <w:pPr>
        <w:jc w:val="both"/>
        <w:rPr>
          <w:sz w:val="20"/>
          <w:szCs w:val="20"/>
          <w:lang w:val="es-ES"/>
        </w:rPr>
      </w:pPr>
      <w:r w:rsidRPr="00790395">
        <w:rPr>
          <w:sz w:val="20"/>
          <w:szCs w:val="20"/>
          <w:lang w:val="es-ES"/>
        </w:rPr>
        <w:t xml:space="preserve">El tutor sí puede formar parte del </w:t>
      </w:r>
      <w:r w:rsidR="007B012B" w:rsidRPr="00790395">
        <w:rPr>
          <w:sz w:val="20"/>
          <w:szCs w:val="20"/>
          <w:lang w:val="es-ES"/>
        </w:rPr>
        <w:t>t</w:t>
      </w:r>
      <w:r w:rsidRPr="00790395">
        <w:rPr>
          <w:sz w:val="20"/>
          <w:szCs w:val="20"/>
          <w:lang w:val="es-ES"/>
        </w:rPr>
        <w:t>ribunal del TFG</w:t>
      </w:r>
    </w:p>
    <w:sectPr w:rsidR="00C4564E" w:rsidRPr="00790395" w:rsidSect="004F5A97">
      <w:headerReference w:type="even" r:id="rId8"/>
      <w:headerReference w:type="default" r:id="rId9"/>
      <w:footerReference w:type="even" r:id="rId10"/>
      <w:footerReference w:type="default" r:id="rId11"/>
      <w:headerReference w:type="first" r:id="rId12"/>
      <w:footerReference w:type="first" r:id="rId13"/>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F80F4" w14:textId="77777777" w:rsidR="00FD14A7" w:rsidRDefault="00FD14A7" w:rsidP="001A5F33">
      <w:r>
        <w:separator/>
      </w:r>
    </w:p>
  </w:endnote>
  <w:endnote w:type="continuationSeparator" w:id="0">
    <w:p w14:paraId="17D8930F" w14:textId="77777777" w:rsidR="00FD14A7" w:rsidRDefault="00FD14A7"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hyperlink r:id="rId1" w:history="1">
      <w:r w:rsidR="000D5E8A" w:rsidRPr="00F5452F">
        <w:rPr>
          <w:rStyle w:val="Hipervnculo"/>
          <w:rFonts w:cstheme="minorBidi"/>
          <w:sz w:val="18"/>
          <w:szCs w:val="18"/>
          <w:lang w:val="es-ES"/>
        </w:rPr>
        <w:t>grado.ing.biomedica@uva.es</w:t>
      </w:r>
    </w:hyperlink>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FD754" w14:textId="77777777" w:rsidR="00FD14A7" w:rsidRDefault="00FD14A7" w:rsidP="001A5F33">
      <w:r>
        <w:separator/>
      </w:r>
    </w:p>
  </w:footnote>
  <w:footnote w:type="continuationSeparator" w:id="0">
    <w:p w14:paraId="07E5A3D8" w14:textId="77777777" w:rsidR="00FD14A7" w:rsidRDefault="00FD14A7"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_tradnl"/>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eastAsia="es-ES_tradnl"/>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abstractNum w:abstractNumId="3" w15:restartNumberingAfterBreak="0">
    <w:nsid w:val="49BE3CA9"/>
    <w:multiLevelType w:val="hybridMultilevel"/>
    <w:tmpl w:val="8014E2E6"/>
    <w:lvl w:ilvl="0" w:tplc="97AC38F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94461702">
    <w:abstractNumId w:val="1"/>
  </w:num>
  <w:num w:numId="2" w16cid:durableId="1704356098">
    <w:abstractNumId w:val="0"/>
  </w:num>
  <w:num w:numId="3" w16cid:durableId="1878927574">
    <w:abstractNumId w:val="2"/>
  </w:num>
  <w:num w:numId="4" w16cid:durableId="1751805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F33"/>
    <w:rsid w:val="00044FC2"/>
    <w:rsid w:val="00065938"/>
    <w:rsid w:val="00080457"/>
    <w:rsid w:val="00080733"/>
    <w:rsid w:val="00082D7E"/>
    <w:rsid w:val="00094E5F"/>
    <w:rsid w:val="000A2BAB"/>
    <w:rsid w:val="000A3D87"/>
    <w:rsid w:val="000A41E6"/>
    <w:rsid w:val="000A443E"/>
    <w:rsid w:val="000D331F"/>
    <w:rsid w:val="000D5488"/>
    <w:rsid w:val="000D5E8A"/>
    <w:rsid w:val="000E73C5"/>
    <w:rsid w:val="000F78B9"/>
    <w:rsid w:val="001322D4"/>
    <w:rsid w:val="00144349"/>
    <w:rsid w:val="00144683"/>
    <w:rsid w:val="0015251E"/>
    <w:rsid w:val="0016440B"/>
    <w:rsid w:val="00174F7C"/>
    <w:rsid w:val="0017543C"/>
    <w:rsid w:val="00191454"/>
    <w:rsid w:val="001A52A8"/>
    <w:rsid w:val="001A5DBA"/>
    <w:rsid w:val="001A5F33"/>
    <w:rsid w:val="001E52AB"/>
    <w:rsid w:val="002075AB"/>
    <w:rsid w:val="002555E5"/>
    <w:rsid w:val="00271BDB"/>
    <w:rsid w:val="0027449F"/>
    <w:rsid w:val="002A0C1A"/>
    <w:rsid w:val="002A5E3C"/>
    <w:rsid w:val="002E32AF"/>
    <w:rsid w:val="00306D6E"/>
    <w:rsid w:val="003167BA"/>
    <w:rsid w:val="003437D3"/>
    <w:rsid w:val="0036094E"/>
    <w:rsid w:val="00394C26"/>
    <w:rsid w:val="003A2734"/>
    <w:rsid w:val="003B3ADF"/>
    <w:rsid w:val="003B68E0"/>
    <w:rsid w:val="003B7949"/>
    <w:rsid w:val="00400C29"/>
    <w:rsid w:val="004F5A97"/>
    <w:rsid w:val="00512C3F"/>
    <w:rsid w:val="00532743"/>
    <w:rsid w:val="005428E9"/>
    <w:rsid w:val="005549A2"/>
    <w:rsid w:val="005A1481"/>
    <w:rsid w:val="005B420F"/>
    <w:rsid w:val="005C021D"/>
    <w:rsid w:val="005C31C6"/>
    <w:rsid w:val="00622B54"/>
    <w:rsid w:val="0063749D"/>
    <w:rsid w:val="00671857"/>
    <w:rsid w:val="00672F3F"/>
    <w:rsid w:val="006A7AB2"/>
    <w:rsid w:val="006B0F9D"/>
    <w:rsid w:val="006B31F2"/>
    <w:rsid w:val="00723387"/>
    <w:rsid w:val="0073575C"/>
    <w:rsid w:val="00746A7B"/>
    <w:rsid w:val="00790395"/>
    <w:rsid w:val="007A2BC9"/>
    <w:rsid w:val="007B012B"/>
    <w:rsid w:val="007B03D3"/>
    <w:rsid w:val="007D7D0E"/>
    <w:rsid w:val="007F5224"/>
    <w:rsid w:val="0080541A"/>
    <w:rsid w:val="00825A4C"/>
    <w:rsid w:val="00863BDA"/>
    <w:rsid w:val="008D2959"/>
    <w:rsid w:val="008D2EBF"/>
    <w:rsid w:val="008F4FEB"/>
    <w:rsid w:val="00907F6B"/>
    <w:rsid w:val="00914F83"/>
    <w:rsid w:val="0093623C"/>
    <w:rsid w:val="009571E0"/>
    <w:rsid w:val="00964AB4"/>
    <w:rsid w:val="00987153"/>
    <w:rsid w:val="00A20D63"/>
    <w:rsid w:val="00A62B1C"/>
    <w:rsid w:val="00B458FE"/>
    <w:rsid w:val="00B47BED"/>
    <w:rsid w:val="00BA0607"/>
    <w:rsid w:val="00BC326D"/>
    <w:rsid w:val="00BD3419"/>
    <w:rsid w:val="00BE72C0"/>
    <w:rsid w:val="00C4564E"/>
    <w:rsid w:val="00C5264D"/>
    <w:rsid w:val="00C54CC4"/>
    <w:rsid w:val="00C66BF8"/>
    <w:rsid w:val="00C86C14"/>
    <w:rsid w:val="00C92E7A"/>
    <w:rsid w:val="00CA17D5"/>
    <w:rsid w:val="00D13E36"/>
    <w:rsid w:val="00D16731"/>
    <w:rsid w:val="00D52CE1"/>
    <w:rsid w:val="00D707D2"/>
    <w:rsid w:val="00DF69E5"/>
    <w:rsid w:val="00E453DE"/>
    <w:rsid w:val="00E961D7"/>
    <w:rsid w:val="00ED5D95"/>
    <w:rsid w:val="00F046BE"/>
    <w:rsid w:val="00F10F08"/>
    <w:rsid w:val="00F20B38"/>
    <w:rsid w:val="00F21D0D"/>
    <w:rsid w:val="00F54347"/>
    <w:rsid w:val="00FA0897"/>
    <w:rsid w:val="00FA3661"/>
    <w:rsid w:val="00FB6B76"/>
    <w:rsid w:val="00FC7EB7"/>
    <w:rsid w:val="00FD14A7"/>
    <w:rsid w:val="00FD24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C7F03"/>
  <w15:chartTrackingRefBased/>
  <w15:docId w15:val="{E108808E-45DF-1A4A-A5FF-64CD6381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styleId="Mencinsinresolver">
    <w:name w:val="Unresolved Mention"/>
    <w:basedOn w:val="Fuentedeprrafopredeter"/>
    <w:uiPriority w:val="99"/>
    <w:semiHidden/>
    <w:unhideWhenUsed/>
    <w:rsid w:val="000D5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 w:id="997147020">
      <w:bodyDiv w:val="1"/>
      <w:marLeft w:val="0"/>
      <w:marRight w:val="0"/>
      <w:marTop w:val="0"/>
      <w:marBottom w:val="0"/>
      <w:divBdr>
        <w:top w:val="none" w:sz="0" w:space="0" w:color="auto"/>
        <w:left w:val="none" w:sz="0" w:space="0" w:color="auto"/>
        <w:bottom w:val="none" w:sz="0" w:space="0" w:color="auto"/>
        <w:right w:val="none" w:sz="0" w:space="0" w:color="auto"/>
      </w:divBdr>
    </w:div>
    <w:div w:id="1280337635">
      <w:bodyDiv w:val="1"/>
      <w:marLeft w:val="0"/>
      <w:marRight w:val="0"/>
      <w:marTop w:val="0"/>
      <w:marBottom w:val="0"/>
      <w:divBdr>
        <w:top w:val="none" w:sz="0" w:space="0" w:color="auto"/>
        <w:left w:val="none" w:sz="0" w:space="0" w:color="auto"/>
        <w:bottom w:val="none" w:sz="0" w:space="0" w:color="auto"/>
        <w:right w:val="none" w:sz="0" w:space="0" w:color="auto"/>
      </w:divBdr>
    </w:div>
    <w:div w:id="1905791358">
      <w:bodyDiv w:val="1"/>
      <w:marLeft w:val="0"/>
      <w:marRight w:val="0"/>
      <w:marTop w:val="0"/>
      <w:marBottom w:val="0"/>
      <w:divBdr>
        <w:top w:val="none" w:sz="0" w:space="0" w:color="auto"/>
        <w:left w:val="none" w:sz="0" w:space="0" w:color="auto"/>
        <w:bottom w:val="none" w:sz="0" w:space="0" w:color="auto"/>
        <w:right w:val="none" w:sz="0" w:space="0" w:color="auto"/>
      </w:divBdr>
    </w:div>
    <w:div w:id="205503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grado.ing.biomedica@uva.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99621-EEEA-4F13-BAD0-445386D6D4F3}">
  <ds:schemaRefs>
    <ds:schemaRef ds:uri="http://schemas.openxmlformats.org/officeDocument/2006/bibliography"/>
  </ds:schemaRefs>
</ds:datastoreItem>
</file>

<file path=docMetadata/LabelInfo.xml><?xml version="1.0" encoding="utf-8"?>
<clbl:labelList xmlns:clbl="http://schemas.microsoft.com/office/2020/mipLabelMetadata">
  <clbl:label id="{5a4ba6f9-f531-4f32-9467-398f19e69de4}" enabled="0" method="" siteId="{5a4ba6f9-f531-4f32-9467-398f19e69de4}" removed="1"/>
</clbl:labelList>
</file>

<file path=docProps/app.xml><?xml version="1.0" encoding="utf-8"?>
<Properties xmlns="http://schemas.openxmlformats.org/officeDocument/2006/extended-properties" xmlns:vt="http://schemas.openxmlformats.org/officeDocument/2006/docPropsVTypes">
  <Template>Normal.dotm</Template>
  <TotalTime>48</TotalTime>
  <Pages>2</Pages>
  <Words>424</Words>
  <Characters>2334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Poza</dc:creator>
  <cp:keywords/>
  <dc:description/>
  <cp:lastModifiedBy>MARIO MARTINEZ ZARZUELA</cp:lastModifiedBy>
  <cp:revision>23</cp:revision>
  <cp:lastPrinted>2022-06-16T18:10:00Z</cp:lastPrinted>
  <dcterms:created xsi:type="dcterms:W3CDTF">2025-02-03T09:57:00Z</dcterms:created>
  <dcterms:modified xsi:type="dcterms:W3CDTF">2025-02-04T15:45:00Z</dcterms:modified>
</cp:coreProperties>
</file>