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263"/>
        <w:gridCol w:w="7371"/>
      </w:tblGrid>
      <w:tr w:rsidR="00191454" w:rsidRPr="000E2C34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0E2C34" w14:paraId="3E74CEF6" w14:textId="77777777" w:rsidTr="00A12448">
        <w:tc>
          <w:tcPr>
            <w:tcW w:w="2263" w:type="dxa"/>
            <w:tcBorders>
              <w:right w:val="nil"/>
            </w:tcBorders>
            <w:vAlign w:val="center"/>
          </w:tcPr>
          <w:p w14:paraId="3283A4D1" w14:textId="183546CF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  <w:r w:rsidR="00662832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7371" w:type="dxa"/>
            <w:tcBorders>
              <w:left w:val="nil"/>
            </w:tcBorders>
            <w:vAlign w:val="center"/>
          </w:tcPr>
          <w:p w14:paraId="29D9D836" w14:textId="5F68543D" w:rsidR="00532743" w:rsidRDefault="00A12448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Reconstrucción acelerada de resonancia magnética </w:t>
            </w:r>
            <w:r w:rsidRPr="002F7FAB">
              <w:rPr>
                <w:sz w:val="22"/>
                <w:szCs w:val="22"/>
                <w:lang w:val="es-ES"/>
              </w:rPr>
              <w:t>de perfusión miocárdica</w:t>
            </w:r>
            <w:r>
              <w:rPr>
                <w:sz w:val="22"/>
                <w:szCs w:val="22"/>
                <w:lang w:val="es-ES"/>
              </w:rPr>
              <w:t xml:space="preserve"> con aprendizaje profundo para facilitar el diagnóstico de</w:t>
            </w:r>
            <w:r w:rsidR="00A90681">
              <w:rPr>
                <w:sz w:val="22"/>
                <w:szCs w:val="22"/>
                <w:lang w:val="es-ES"/>
              </w:rPr>
              <w:t xml:space="preserve"> la</w:t>
            </w:r>
            <w:r>
              <w:rPr>
                <w:sz w:val="22"/>
                <w:szCs w:val="22"/>
                <w:lang w:val="es-ES"/>
              </w:rPr>
              <w:t xml:space="preserve"> cardiopatía </w:t>
            </w:r>
            <w:r w:rsidRPr="003232F2">
              <w:rPr>
                <w:sz w:val="22"/>
                <w:szCs w:val="22"/>
                <w:lang w:val="es-ES"/>
              </w:rPr>
              <w:t>coronaria</w:t>
            </w:r>
          </w:p>
          <w:p w14:paraId="7F56C29C" w14:textId="0313CE31" w:rsidR="00532743" w:rsidRP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0E2C34" w14:paraId="33AEB1BD" w14:textId="77777777" w:rsidTr="00A12448">
        <w:tc>
          <w:tcPr>
            <w:tcW w:w="2263" w:type="dxa"/>
            <w:tcBorders>
              <w:right w:val="nil"/>
            </w:tcBorders>
            <w:vAlign w:val="center"/>
          </w:tcPr>
          <w:p w14:paraId="66C5538F" w14:textId="761E2768" w:rsidR="00A12448" w:rsidRPr="004F5A97" w:rsidRDefault="00532743" w:rsidP="00A12448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  <w:r w:rsidR="00A12448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</w:p>
          <w:p w14:paraId="2234899D" w14:textId="03006DFC" w:rsidR="00A12448" w:rsidRPr="004F5A97" w:rsidRDefault="00A12448" w:rsidP="004F5A97">
            <w:pPr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7371" w:type="dxa"/>
            <w:tcBorders>
              <w:left w:val="nil"/>
            </w:tcBorders>
            <w:vAlign w:val="center"/>
          </w:tcPr>
          <w:p w14:paraId="14008E32" w14:textId="540A64E0" w:rsidR="00A12448" w:rsidRPr="00A12448" w:rsidRDefault="00A12448" w:rsidP="00A12448">
            <w:pPr>
              <w:rPr>
                <w:sz w:val="22"/>
                <w:szCs w:val="22"/>
                <w:lang w:val="es-ES"/>
              </w:rPr>
            </w:pPr>
            <w:r w:rsidRPr="00A12448">
              <w:rPr>
                <w:sz w:val="22"/>
                <w:szCs w:val="22"/>
                <w:lang w:val="es-ES"/>
              </w:rPr>
              <w:t>Rodrigo de Luis</w:t>
            </w:r>
            <w:r w:rsidR="00A90681">
              <w:rPr>
                <w:sz w:val="22"/>
                <w:szCs w:val="22"/>
                <w:lang w:val="es-ES"/>
              </w:rPr>
              <w:t xml:space="preserve"> </w:t>
            </w:r>
            <w:r w:rsidRPr="00A12448">
              <w:rPr>
                <w:sz w:val="22"/>
                <w:szCs w:val="22"/>
                <w:lang w:val="es-ES"/>
              </w:rPr>
              <w:t>García</w:t>
            </w:r>
          </w:p>
          <w:p w14:paraId="64E8E2DA" w14:textId="745BDB7E" w:rsidR="00532743" w:rsidRDefault="00A12448" w:rsidP="00A12448">
            <w:pPr>
              <w:rPr>
                <w:sz w:val="22"/>
                <w:szCs w:val="22"/>
                <w:lang w:val="es-ES"/>
              </w:rPr>
            </w:pPr>
            <w:r w:rsidRPr="00A12448">
              <w:rPr>
                <w:sz w:val="22"/>
                <w:szCs w:val="22"/>
                <w:lang w:val="es-ES"/>
              </w:rPr>
              <w:t>Elisa Moya Sáez</w:t>
            </w:r>
          </w:p>
          <w:p w14:paraId="54900222" w14:textId="2548621E" w:rsidR="00532743" w:rsidRP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0E2C34" w14:paraId="7B8F0F8F" w14:textId="77777777" w:rsidTr="00A12448">
        <w:tc>
          <w:tcPr>
            <w:tcW w:w="2263" w:type="dxa"/>
            <w:tcBorders>
              <w:right w:val="nil"/>
            </w:tcBorders>
            <w:vAlign w:val="center"/>
          </w:tcPr>
          <w:p w14:paraId="4FE55BE7" w14:textId="64A10350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  <w:r w:rsidR="00662832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7371" w:type="dxa"/>
            <w:tcBorders>
              <w:left w:val="nil"/>
            </w:tcBorders>
            <w:vAlign w:val="center"/>
          </w:tcPr>
          <w:p w14:paraId="05A3FB74" w14:textId="30BF8412" w:rsidR="00532743" w:rsidRDefault="00A12448" w:rsidP="004F5A97">
            <w:pPr>
              <w:rPr>
                <w:sz w:val="22"/>
                <w:szCs w:val="22"/>
                <w:lang w:val="es-ES"/>
              </w:rPr>
            </w:pPr>
            <w:r w:rsidRPr="00A12448">
              <w:rPr>
                <w:sz w:val="22"/>
                <w:szCs w:val="22"/>
                <w:lang w:val="es-ES"/>
              </w:rPr>
              <w:t>Teoría de la Señal y Comunicaciones e Ingeniería Telemática</w:t>
            </w:r>
          </w:p>
          <w:p w14:paraId="2D038842" w14:textId="5553A9C0" w:rsidR="00532743" w:rsidRP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A12448" w:rsidRPr="000E2C34" w14:paraId="39411455" w14:textId="77777777" w:rsidTr="00A12448">
        <w:tc>
          <w:tcPr>
            <w:tcW w:w="2263" w:type="dxa"/>
            <w:tcBorders>
              <w:right w:val="nil"/>
            </w:tcBorders>
            <w:vAlign w:val="center"/>
          </w:tcPr>
          <w:p w14:paraId="3A54DB02" w14:textId="06C4C0C8" w:rsidR="00A12448" w:rsidRPr="00A12448" w:rsidRDefault="00A12448" w:rsidP="00A12448">
            <w:p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  <w:r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7371" w:type="dxa"/>
            <w:tcBorders>
              <w:left w:val="nil"/>
            </w:tcBorders>
            <w:vAlign w:val="center"/>
          </w:tcPr>
          <w:p w14:paraId="09367F1F" w14:textId="3EA23617" w:rsidR="00A12448" w:rsidRDefault="00A12448" w:rsidP="00A12448">
            <w:pPr>
              <w:jc w:val="both"/>
              <w:rPr>
                <w:sz w:val="22"/>
                <w:szCs w:val="22"/>
                <w:lang w:val="es-ES"/>
              </w:rPr>
            </w:pPr>
            <w:r w:rsidRPr="003232F2">
              <w:rPr>
                <w:sz w:val="22"/>
                <w:szCs w:val="22"/>
                <w:lang w:val="es-ES"/>
              </w:rPr>
              <w:t xml:space="preserve">La </w:t>
            </w:r>
            <w:r>
              <w:rPr>
                <w:sz w:val="22"/>
                <w:szCs w:val="22"/>
                <w:lang w:val="es-ES"/>
              </w:rPr>
              <w:t xml:space="preserve">cardiopatía </w:t>
            </w:r>
            <w:r w:rsidRPr="003232F2">
              <w:rPr>
                <w:sz w:val="22"/>
                <w:szCs w:val="22"/>
                <w:lang w:val="es-ES"/>
              </w:rPr>
              <w:t xml:space="preserve">coronaria </w:t>
            </w:r>
            <w:r w:rsidRPr="002F7FAB">
              <w:rPr>
                <w:sz w:val="22"/>
                <w:szCs w:val="22"/>
                <w:lang w:val="es-ES"/>
              </w:rPr>
              <w:t xml:space="preserve">ocurre cuando el flujo sanguíneo hacia el corazón se ve restringido. Es </w:t>
            </w:r>
            <w:r>
              <w:rPr>
                <w:sz w:val="22"/>
                <w:szCs w:val="22"/>
                <w:lang w:val="es-ES"/>
              </w:rPr>
              <w:t>una de las</w:t>
            </w:r>
            <w:r w:rsidRPr="002F7FAB">
              <w:rPr>
                <w:sz w:val="22"/>
                <w:szCs w:val="22"/>
                <w:lang w:val="es-ES"/>
              </w:rPr>
              <w:t xml:space="preserve"> principal</w:t>
            </w:r>
            <w:r>
              <w:rPr>
                <w:sz w:val="22"/>
                <w:szCs w:val="22"/>
                <w:lang w:val="es-ES"/>
              </w:rPr>
              <w:t>es</w:t>
            </w:r>
            <w:r w:rsidRPr="002F7FAB">
              <w:rPr>
                <w:sz w:val="22"/>
                <w:szCs w:val="22"/>
                <w:lang w:val="es-ES"/>
              </w:rPr>
              <w:t xml:space="preserve"> causa</w:t>
            </w:r>
            <w:r>
              <w:rPr>
                <w:sz w:val="22"/>
                <w:szCs w:val="22"/>
                <w:lang w:val="es-ES"/>
              </w:rPr>
              <w:t>s</w:t>
            </w:r>
            <w:r w:rsidRPr="002F7FAB">
              <w:rPr>
                <w:sz w:val="22"/>
                <w:szCs w:val="22"/>
                <w:lang w:val="es-ES"/>
              </w:rPr>
              <w:t xml:space="preserve"> de muerte</w:t>
            </w:r>
            <w:r>
              <w:rPr>
                <w:sz w:val="22"/>
                <w:szCs w:val="22"/>
                <w:lang w:val="es-ES"/>
              </w:rPr>
              <w:t xml:space="preserve"> en el mundo, </w:t>
            </w:r>
            <w:r w:rsidRPr="002F7FAB">
              <w:rPr>
                <w:sz w:val="22"/>
                <w:szCs w:val="22"/>
                <w:lang w:val="es-ES"/>
              </w:rPr>
              <w:t>lo que hace esencial su detección temprana.</w:t>
            </w:r>
            <w:r>
              <w:rPr>
                <w:sz w:val="22"/>
                <w:szCs w:val="22"/>
                <w:lang w:val="es-ES"/>
              </w:rPr>
              <w:t xml:space="preserve"> </w:t>
            </w:r>
            <w:r w:rsidRPr="002F7FAB">
              <w:rPr>
                <w:sz w:val="22"/>
                <w:szCs w:val="22"/>
                <w:lang w:val="es-ES"/>
              </w:rPr>
              <w:t>La resonancia magnética de perfusión miocárdica se está consolidando como una alternativa no invasiva para detectar</w:t>
            </w:r>
            <w:r>
              <w:rPr>
                <w:sz w:val="22"/>
                <w:szCs w:val="22"/>
                <w:lang w:val="es-ES"/>
              </w:rPr>
              <w:t xml:space="preserve"> esta patología</w:t>
            </w:r>
            <w:r w:rsidRPr="002F7FAB">
              <w:rPr>
                <w:sz w:val="22"/>
                <w:szCs w:val="22"/>
                <w:lang w:val="es-ES"/>
              </w:rPr>
              <w:t xml:space="preserve">. </w:t>
            </w:r>
            <w:r w:rsidRPr="003232F2">
              <w:rPr>
                <w:sz w:val="22"/>
                <w:szCs w:val="22"/>
                <w:lang w:val="es-ES"/>
              </w:rPr>
              <w:t xml:space="preserve">Sin embargo, las imágenes deben adquirirse en tiempo real </w:t>
            </w:r>
            <w:r>
              <w:rPr>
                <w:sz w:val="22"/>
                <w:szCs w:val="22"/>
                <w:lang w:val="es-ES"/>
              </w:rPr>
              <w:t xml:space="preserve">capturando </w:t>
            </w:r>
            <w:r w:rsidRPr="003232F2">
              <w:rPr>
                <w:sz w:val="22"/>
                <w:szCs w:val="22"/>
                <w:lang w:val="es-ES"/>
              </w:rPr>
              <w:t>el paso de un agente de contraste a través del corazón, por lo que la resolución espacial y la cobertura del corazón se ven comprometidas</w:t>
            </w:r>
            <w:r>
              <w:rPr>
                <w:sz w:val="22"/>
                <w:szCs w:val="22"/>
                <w:lang w:val="es-ES"/>
              </w:rPr>
              <w:t xml:space="preserve">. </w:t>
            </w:r>
            <w:r w:rsidRPr="00A12448">
              <w:rPr>
                <w:sz w:val="22"/>
                <w:szCs w:val="22"/>
                <w:lang w:val="es-ES"/>
              </w:rPr>
              <w:t>Además, la calidad de las imágenes se ve afectada por el movimiento cardiaco y respiratorio, dificultando su uso en la práctica clínica.</w:t>
            </w:r>
            <w:r>
              <w:rPr>
                <w:sz w:val="22"/>
                <w:szCs w:val="22"/>
                <w:lang w:val="es-ES"/>
              </w:rPr>
              <w:t xml:space="preserve"> </w:t>
            </w:r>
            <w:r w:rsidRPr="00A12448">
              <w:rPr>
                <w:sz w:val="22"/>
                <w:szCs w:val="22"/>
                <w:lang w:val="es-ES"/>
              </w:rPr>
              <w:t xml:space="preserve">Para abordar estos problemas, se han propuesto métodos de reconstrucción </w:t>
            </w:r>
            <w:proofErr w:type="spellStart"/>
            <w:r w:rsidRPr="00A12448">
              <w:rPr>
                <w:sz w:val="22"/>
                <w:szCs w:val="22"/>
                <w:lang w:val="es-ES"/>
              </w:rPr>
              <w:t>submuestreada</w:t>
            </w:r>
            <w:proofErr w:type="spellEnd"/>
            <w:r w:rsidRPr="00A12448">
              <w:rPr>
                <w:sz w:val="22"/>
                <w:szCs w:val="22"/>
                <w:lang w:val="es-ES"/>
              </w:rPr>
              <w:t xml:space="preserve"> que aceleran las adquisiciones, pero conllevan largos tiempos de reconstrucción. Este trabajo tiene como objetivo acelerar las reconstrucciones y mejorar la calidad de las imágenes obtenidas mediante el uso de aprendizaje profundo</w:t>
            </w:r>
            <w:r>
              <w:rPr>
                <w:sz w:val="22"/>
                <w:szCs w:val="22"/>
                <w:lang w:val="es-ES"/>
              </w:rPr>
              <w:t>, resolviendo así los problemas antes mencionados</w:t>
            </w:r>
            <w:r w:rsidRPr="00A12448">
              <w:rPr>
                <w:sz w:val="22"/>
                <w:szCs w:val="22"/>
                <w:lang w:val="es-ES"/>
              </w:rPr>
              <w:t>.</w:t>
            </w:r>
          </w:p>
          <w:p w14:paraId="6462B184" w14:textId="2A54096C" w:rsidR="00A12448" w:rsidRPr="00532743" w:rsidRDefault="00A12448" w:rsidP="00A12448">
            <w:pPr>
              <w:jc w:val="both"/>
              <w:rPr>
                <w:sz w:val="22"/>
                <w:szCs w:val="22"/>
                <w:lang w:val="es-ES"/>
              </w:rPr>
            </w:pPr>
          </w:p>
        </w:tc>
      </w:tr>
      <w:tr w:rsidR="00A12448" w:rsidRPr="000E2C34" w14:paraId="568B6061" w14:textId="77777777" w:rsidTr="00A12448">
        <w:tc>
          <w:tcPr>
            <w:tcW w:w="2263" w:type="dxa"/>
            <w:tcBorders>
              <w:right w:val="nil"/>
            </w:tcBorders>
            <w:vAlign w:val="center"/>
          </w:tcPr>
          <w:p w14:paraId="1B8B8612" w14:textId="05E16701" w:rsidR="00A12448" w:rsidRPr="004F5A97" w:rsidRDefault="00A12448" w:rsidP="00A12448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  <w:r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7371" w:type="dxa"/>
            <w:tcBorders>
              <w:left w:val="nil"/>
            </w:tcBorders>
            <w:vAlign w:val="center"/>
          </w:tcPr>
          <w:p w14:paraId="52A31C8E" w14:textId="74E21B15" w:rsidR="00A12448" w:rsidRPr="00532743" w:rsidRDefault="00A12448" w:rsidP="00A12448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Cardiopatía </w:t>
            </w:r>
            <w:r w:rsidRPr="003232F2">
              <w:rPr>
                <w:sz w:val="22"/>
                <w:szCs w:val="22"/>
                <w:lang w:val="es-ES"/>
              </w:rPr>
              <w:t>coronaria</w:t>
            </w:r>
            <w:r>
              <w:rPr>
                <w:sz w:val="22"/>
                <w:szCs w:val="22"/>
                <w:lang w:val="es-ES"/>
              </w:rPr>
              <w:t>, R</w:t>
            </w:r>
            <w:r w:rsidRPr="002F7FAB">
              <w:rPr>
                <w:sz w:val="22"/>
                <w:szCs w:val="22"/>
                <w:lang w:val="es-ES"/>
              </w:rPr>
              <w:t>esonancia magnética de perfusión</w:t>
            </w:r>
            <w:r>
              <w:rPr>
                <w:sz w:val="22"/>
                <w:szCs w:val="22"/>
                <w:lang w:val="es-ES"/>
              </w:rPr>
              <w:t>, Aprendizaje profundo</w:t>
            </w:r>
          </w:p>
        </w:tc>
      </w:tr>
      <w:tr w:rsidR="00A12448" w:rsidRPr="000E2C34" w14:paraId="3AC08E72" w14:textId="77777777" w:rsidTr="00A12448">
        <w:tc>
          <w:tcPr>
            <w:tcW w:w="2263" w:type="dxa"/>
            <w:tcBorders>
              <w:right w:val="nil"/>
            </w:tcBorders>
            <w:vAlign w:val="center"/>
          </w:tcPr>
          <w:p w14:paraId="21FE42D4" w14:textId="41A8F7E1" w:rsidR="00A12448" w:rsidRPr="004F5A97" w:rsidRDefault="00A12448" w:rsidP="00A12448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7371" w:type="dxa"/>
            <w:tcBorders>
              <w:left w:val="nil"/>
            </w:tcBorders>
            <w:vAlign w:val="center"/>
          </w:tcPr>
          <w:p w14:paraId="7BA2EB2E" w14:textId="77777777" w:rsidR="00A12448" w:rsidRDefault="00A12448" w:rsidP="00A12448">
            <w:pPr>
              <w:rPr>
                <w:sz w:val="22"/>
                <w:szCs w:val="22"/>
                <w:lang w:val="es-ES"/>
              </w:rPr>
            </w:pPr>
          </w:p>
          <w:p w14:paraId="27197269" w14:textId="77777777" w:rsidR="000E2C34" w:rsidRPr="000E2C34" w:rsidRDefault="000E2C34" w:rsidP="000E2C34">
            <w:pPr>
              <w:pStyle w:val="NormalWeb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E2C34">
              <w:rPr>
                <w:rFonts w:asciiTheme="minorHAnsi" w:hAnsiTheme="minorHAnsi" w:cstheme="minorHAnsi"/>
                <w:sz w:val="22"/>
                <w:szCs w:val="22"/>
              </w:rPr>
              <w:t xml:space="preserve">CG1. Adquirir conocimientos y habilidades adecuados para analizar y sintetizar problemas </w:t>
            </w:r>
            <w:proofErr w:type="spellStart"/>
            <w:r w:rsidRPr="000E2C34">
              <w:rPr>
                <w:rFonts w:asciiTheme="minorHAnsi" w:hAnsiTheme="minorHAnsi" w:cstheme="minorHAnsi"/>
                <w:sz w:val="22"/>
                <w:szCs w:val="22"/>
              </w:rPr>
              <w:t>básicos</w:t>
            </w:r>
            <w:proofErr w:type="spellEnd"/>
            <w:r w:rsidRPr="000E2C34">
              <w:rPr>
                <w:rFonts w:asciiTheme="minorHAnsi" w:hAnsiTheme="minorHAnsi" w:cstheme="minorHAnsi"/>
                <w:sz w:val="22"/>
                <w:szCs w:val="22"/>
              </w:rPr>
              <w:t xml:space="preserve"> relacionados con la </w:t>
            </w:r>
            <w:proofErr w:type="spellStart"/>
            <w:r w:rsidRPr="000E2C34">
              <w:rPr>
                <w:rFonts w:asciiTheme="minorHAnsi" w:hAnsiTheme="minorHAnsi" w:cstheme="minorHAnsi"/>
                <w:sz w:val="22"/>
                <w:szCs w:val="22"/>
              </w:rPr>
              <w:t>ingeniería</w:t>
            </w:r>
            <w:proofErr w:type="spellEnd"/>
            <w:r w:rsidRPr="000E2C34">
              <w:rPr>
                <w:rFonts w:asciiTheme="minorHAnsi" w:hAnsiTheme="minorHAnsi" w:cstheme="minorHAnsi"/>
                <w:sz w:val="22"/>
                <w:szCs w:val="22"/>
              </w:rPr>
              <w:t xml:space="preserve"> y las ciencias </w:t>
            </w:r>
            <w:proofErr w:type="spellStart"/>
            <w:r w:rsidRPr="000E2C34">
              <w:rPr>
                <w:rFonts w:asciiTheme="minorHAnsi" w:hAnsiTheme="minorHAnsi" w:cstheme="minorHAnsi"/>
                <w:sz w:val="22"/>
                <w:szCs w:val="22"/>
              </w:rPr>
              <w:t>biomédicas</w:t>
            </w:r>
            <w:proofErr w:type="spellEnd"/>
            <w:r w:rsidRPr="000E2C34">
              <w:rPr>
                <w:rFonts w:asciiTheme="minorHAnsi" w:hAnsiTheme="minorHAnsi" w:cstheme="minorHAnsi"/>
                <w:sz w:val="22"/>
                <w:szCs w:val="22"/>
              </w:rPr>
              <w:t xml:space="preserve">, resolverlos utilizando el </w:t>
            </w:r>
            <w:proofErr w:type="spellStart"/>
            <w:r w:rsidRPr="000E2C34">
              <w:rPr>
                <w:rFonts w:asciiTheme="minorHAnsi" w:hAnsiTheme="minorHAnsi" w:cstheme="minorHAnsi"/>
                <w:sz w:val="22"/>
                <w:szCs w:val="22"/>
              </w:rPr>
              <w:t>método</w:t>
            </w:r>
            <w:proofErr w:type="spellEnd"/>
            <w:r w:rsidRPr="000E2C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E2C34">
              <w:rPr>
                <w:rFonts w:asciiTheme="minorHAnsi" w:hAnsiTheme="minorHAnsi" w:cstheme="minorHAnsi"/>
                <w:sz w:val="22"/>
                <w:szCs w:val="22"/>
              </w:rPr>
              <w:t>científico</w:t>
            </w:r>
            <w:proofErr w:type="spellEnd"/>
            <w:r w:rsidRPr="000E2C34">
              <w:rPr>
                <w:rFonts w:asciiTheme="minorHAnsi" w:hAnsiTheme="minorHAnsi" w:cstheme="minorHAnsi"/>
                <w:sz w:val="22"/>
                <w:szCs w:val="22"/>
              </w:rPr>
              <w:t xml:space="preserve"> y comunicarlos de forma eficiente. </w:t>
            </w:r>
          </w:p>
          <w:p w14:paraId="698DA7F4" w14:textId="77777777" w:rsidR="000E2C34" w:rsidRDefault="000E2C34" w:rsidP="000E2C34">
            <w:pPr>
              <w:pStyle w:val="NormalWeb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E2C34">
              <w:rPr>
                <w:rFonts w:asciiTheme="minorHAnsi" w:hAnsiTheme="minorHAnsi" w:cstheme="minorHAnsi"/>
                <w:sz w:val="22"/>
                <w:szCs w:val="22"/>
              </w:rPr>
              <w:t xml:space="preserve">CG9. Redactar, representar e interpretar </w:t>
            </w:r>
            <w:proofErr w:type="spellStart"/>
            <w:r w:rsidRPr="000E2C34">
              <w:rPr>
                <w:rFonts w:asciiTheme="minorHAnsi" w:hAnsiTheme="minorHAnsi" w:cstheme="minorHAnsi"/>
                <w:sz w:val="22"/>
                <w:szCs w:val="22"/>
              </w:rPr>
              <w:t>documentación</w:t>
            </w:r>
            <w:proofErr w:type="spellEnd"/>
            <w:r w:rsidRPr="000E2C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E2C34">
              <w:rPr>
                <w:rFonts w:asciiTheme="minorHAnsi" w:hAnsiTheme="minorHAnsi" w:cstheme="minorHAnsi"/>
                <w:sz w:val="22"/>
                <w:szCs w:val="22"/>
              </w:rPr>
              <w:t>científico-técnica</w:t>
            </w:r>
            <w:proofErr w:type="spellEnd"/>
            <w:r w:rsidRPr="000E2C34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32567B2F" w14:textId="343D4CE4" w:rsidR="00A12448" w:rsidRPr="000E2C34" w:rsidRDefault="000E2C34" w:rsidP="00A12448">
            <w:pPr>
              <w:pStyle w:val="NormalWeb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E2C34">
              <w:rPr>
                <w:rFonts w:cstheme="minorHAnsi"/>
                <w:sz w:val="22"/>
                <w:szCs w:val="22"/>
              </w:rPr>
              <w:t xml:space="preserve">CE32. Desarrollar la capacidad de realizar individualmente, presentar y defender, ante un tribunal universitario, un proyecto en el </w:t>
            </w:r>
            <w:proofErr w:type="spellStart"/>
            <w:r w:rsidRPr="000E2C34">
              <w:rPr>
                <w:rFonts w:cstheme="minorHAnsi"/>
                <w:sz w:val="22"/>
                <w:szCs w:val="22"/>
              </w:rPr>
              <w:t>ámbito</w:t>
            </w:r>
            <w:proofErr w:type="spellEnd"/>
            <w:r w:rsidRPr="000E2C34">
              <w:rPr>
                <w:rFonts w:cstheme="minorHAnsi"/>
                <w:sz w:val="22"/>
                <w:szCs w:val="22"/>
              </w:rPr>
              <w:t xml:space="preserve"> de las </w:t>
            </w:r>
            <w:proofErr w:type="spellStart"/>
            <w:r w:rsidRPr="000E2C34">
              <w:rPr>
                <w:rFonts w:cstheme="minorHAnsi"/>
                <w:sz w:val="22"/>
                <w:szCs w:val="22"/>
              </w:rPr>
              <w:t>tecnologías</w:t>
            </w:r>
            <w:proofErr w:type="spellEnd"/>
            <w:r w:rsidRPr="000E2C34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0E2C34">
              <w:rPr>
                <w:rFonts w:cstheme="minorHAnsi"/>
                <w:sz w:val="22"/>
                <w:szCs w:val="22"/>
              </w:rPr>
              <w:t>específicas</w:t>
            </w:r>
            <w:proofErr w:type="spellEnd"/>
            <w:r w:rsidRPr="000E2C34">
              <w:rPr>
                <w:rFonts w:cstheme="minorHAnsi"/>
                <w:sz w:val="22"/>
                <w:szCs w:val="22"/>
              </w:rPr>
              <w:t xml:space="preserve"> de la </w:t>
            </w:r>
            <w:proofErr w:type="spellStart"/>
            <w:r w:rsidRPr="000E2C34">
              <w:rPr>
                <w:rFonts w:cstheme="minorHAnsi"/>
                <w:sz w:val="22"/>
                <w:szCs w:val="22"/>
              </w:rPr>
              <w:t>Ingeniería</w:t>
            </w:r>
            <w:proofErr w:type="spellEnd"/>
            <w:r w:rsidRPr="000E2C34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0E2C34">
              <w:rPr>
                <w:rFonts w:cstheme="minorHAnsi"/>
                <w:sz w:val="22"/>
                <w:szCs w:val="22"/>
              </w:rPr>
              <w:t>Biomédica</w:t>
            </w:r>
            <w:proofErr w:type="spellEnd"/>
            <w:r w:rsidRPr="000E2C34">
              <w:rPr>
                <w:rFonts w:cstheme="minorHAnsi"/>
                <w:sz w:val="22"/>
                <w:szCs w:val="22"/>
              </w:rPr>
              <w:t xml:space="preserve"> de naturaleza profesional en el que se sinteticen e integren las competencias adquiridas. </w:t>
            </w:r>
          </w:p>
        </w:tc>
      </w:tr>
      <w:tr w:rsidR="00A12448" w:rsidRPr="000E2C34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77777777" w:rsidR="00A12448" w:rsidRPr="004F5A97" w:rsidRDefault="00A12448" w:rsidP="00A12448">
            <w:pPr>
              <w:rPr>
                <w:sz w:val="12"/>
                <w:szCs w:val="12"/>
                <w:lang w:val="es-ES"/>
              </w:rPr>
            </w:pPr>
          </w:p>
          <w:p w14:paraId="66B36FBA" w14:textId="265F964C" w:rsidR="00A12448" w:rsidRPr="00394C26" w:rsidRDefault="00A12448" w:rsidP="00A12448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proofErr w:type="gramStart"/>
            <w:r w:rsidRPr="00394C26">
              <w:rPr>
                <w:rFonts w:ascii="Wingdings" w:hAnsi="Wingdings" w:cs="Wingdings"/>
                <w:b/>
                <w:bCs/>
                <w:color w:val="000000" w:themeColor="text1"/>
              </w:rPr>
              <w:t></w:t>
            </w:r>
            <w:r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Pr="00394C26">
              <w:rPr>
                <w:b/>
                <w:bCs/>
                <w:sz w:val="22"/>
                <w:szCs w:val="22"/>
                <w:lang w:val="es-ES"/>
              </w:rPr>
              <w:t>Asociado</w:t>
            </w:r>
            <w:proofErr w:type="gramEnd"/>
            <w:r w:rsidRPr="00394C26">
              <w:rPr>
                <w:b/>
                <w:bCs/>
                <w:sz w:val="22"/>
                <w:szCs w:val="22"/>
                <w:lang w:val="es-ES"/>
              </w:rPr>
              <w:t xml:space="preserve"> a Prácticas Externas</w:t>
            </w:r>
          </w:p>
          <w:p w14:paraId="3C15AAB3" w14:textId="3E03A3C8" w:rsidR="00A12448" w:rsidRDefault="00A12448" w:rsidP="00A12448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 (si procede):</w:t>
            </w:r>
          </w:p>
          <w:p w14:paraId="2A5E247C" w14:textId="365B46AF" w:rsidR="00A12448" w:rsidRPr="00532743" w:rsidRDefault="00A12448" w:rsidP="00A12448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7A9C830A" w14:textId="606903B5" w:rsidR="00532743" w:rsidRDefault="00532743" w:rsidP="00532743">
      <w:pPr>
        <w:jc w:val="both"/>
        <w:rPr>
          <w:lang w:val="es-ES"/>
        </w:rPr>
      </w:pPr>
    </w:p>
    <w:p w14:paraId="37C01218" w14:textId="77777777" w:rsidR="00191454" w:rsidRDefault="00191454" w:rsidP="00532743">
      <w:pPr>
        <w:jc w:val="both"/>
        <w:rPr>
          <w:lang w:val="es-ES"/>
        </w:rPr>
      </w:pPr>
    </w:p>
    <w:p w14:paraId="52F0FDEA" w14:textId="77777777" w:rsidR="004F5A97" w:rsidRDefault="004F5A97" w:rsidP="004F5A97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0E2C34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14:paraId="65F915EF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77CAE734" w14:textId="5046D95B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0E2C34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E14A96E" w14:textId="5D38DFB8" w:rsidR="004F5A97" w:rsidRDefault="000E2C34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Santiago Aja Fernández</w:t>
            </w:r>
          </w:p>
          <w:p w14:paraId="39B4BE66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1A5DFC4D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1FCB6B96" w14:textId="26BC9BA6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59EB1356" w14:textId="2179F587" w:rsidR="004F5A97" w:rsidRDefault="000E2C34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Rodrigo de Luis García</w:t>
            </w:r>
          </w:p>
          <w:p w14:paraId="2A51ACC6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290C9998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9D92F88" w14:textId="715E49E4" w:rsidR="004F5A97" w:rsidRDefault="000E2C34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Marcos Martín Fernández</w:t>
            </w:r>
          </w:p>
          <w:p w14:paraId="0C014DA6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2A2E43DE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6EDF7935" w14:textId="3BCFA334" w:rsidR="004F5A97" w:rsidRDefault="000E2C34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Antonio Tristán Vega</w:t>
            </w:r>
          </w:p>
          <w:p w14:paraId="097A0C15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558C1512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4BEE6501" w14:textId="096152E5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5BE5BADC" w14:textId="48F95222" w:rsidR="004F5A97" w:rsidRDefault="000E2C34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Miguel Ángel Martín Fernández</w:t>
            </w:r>
          </w:p>
          <w:p w14:paraId="13A5AA89" w14:textId="75B5D628" w:rsidR="00394C26" w:rsidRPr="00532743" w:rsidRDefault="00394C26" w:rsidP="00D44E9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4A9BC853" w14:textId="317B9D2F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sectPr w:rsidR="00C4564E" w:rsidRPr="00790395" w:rsidSect="004F5A97">
      <w:headerReference w:type="default" r:id="rId8"/>
      <w:footerReference w:type="default" r:id="rId9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5F47C" w14:textId="77777777" w:rsidR="00D324DF" w:rsidRDefault="00D324DF" w:rsidP="001A5F33">
      <w:r>
        <w:separator/>
      </w:r>
    </w:p>
  </w:endnote>
  <w:endnote w:type="continuationSeparator" w:id="0">
    <w:p w14:paraId="63289C24" w14:textId="77777777" w:rsidR="00D324DF" w:rsidRDefault="00D324DF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40D7E9A0" w:rsidR="00394C26" w:rsidRPr="00191454" w:rsidRDefault="00394C26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B16599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C66BF8" w:rsidRPr="007B03D3">
      <w:rPr>
        <w:sz w:val="18"/>
        <w:szCs w:val="18"/>
        <w:lang w:val="es-ES"/>
      </w:rPr>
      <w:t>(</w:t>
    </w:r>
    <w:hyperlink r:id="rId1" w:history="1">
      <w:r w:rsidR="00B16599" w:rsidRPr="000E0FBA">
        <w:rPr>
          <w:rStyle w:val="Hipervnculo"/>
          <w:sz w:val="18"/>
          <w:szCs w:val="18"/>
          <w:lang w:val="es-ES"/>
        </w:rPr>
        <w:t>grado.ing.biomedica@uva.es</w:t>
      </w:r>
    </w:hyperlink>
    <w:r w:rsidR="00094E5F" w:rsidRPr="007B03D3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305BB" w14:textId="77777777" w:rsidR="00D324DF" w:rsidRDefault="00D324DF" w:rsidP="001A5F33">
      <w:r>
        <w:separator/>
      </w:r>
    </w:p>
  </w:footnote>
  <w:footnote w:type="continuationSeparator" w:id="0">
    <w:p w14:paraId="472C0905" w14:textId="77777777" w:rsidR="00D324DF" w:rsidRDefault="00D324DF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F53103"/>
    <w:multiLevelType w:val="hybridMultilevel"/>
    <w:tmpl w:val="3ADA441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971398066">
    <w:abstractNumId w:val="2"/>
  </w:num>
  <w:num w:numId="2" w16cid:durableId="1893735121">
    <w:abstractNumId w:val="0"/>
  </w:num>
  <w:num w:numId="3" w16cid:durableId="1282419873">
    <w:abstractNumId w:val="3"/>
  </w:num>
  <w:num w:numId="4" w16cid:durableId="3679912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80733"/>
    <w:rsid w:val="00094E5F"/>
    <w:rsid w:val="000A41E6"/>
    <w:rsid w:val="000A443E"/>
    <w:rsid w:val="000D5488"/>
    <w:rsid w:val="000E2C34"/>
    <w:rsid w:val="001322D4"/>
    <w:rsid w:val="00144349"/>
    <w:rsid w:val="0017543C"/>
    <w:rsid w:val="00191454"/>
    <w:rsid w:val="001A5F33"/>
    <w:rsid w:val="001E52AB"/>
    <w:rsid w:val="002075AB"/>
    <w:rsid w:val="00240DFB"/>
    <w:rsid w:val="002555E5"/>
    <w:rsid w:val="0027449F"/>
    <w:rsid w:val="002F7FAB"/>
    <w:rsid w:val="00306D6E"/>
    <w:rsid w:val="003167BA"/>
    <w:rsid w:val="003232F2"/>
    <w:rsid w:val="00394C26"/>
    <w:rsid w:val="003A2734"/>
    <w:rsid w:val="003B3ADF"/>
    <w:rsid w:val="00400C29"/>
    <w:rsid w:val="004F5A97"/>
    <w:rsid w:val="005023DE"/>
    <w:rsid w:val="00512C3F"/>
    <w:rsid w:val="00532743"/>
    <w:rsid w:val="005428E9"/>
    <w:rsid w:val="005549A2"/>
    <w:rsid w:val="005606DA"/>
    <w:rsid w:val="005B420F"/>
    <w:rsid w:val="00622B54"/>
    <w:rsid w:val="0063749D"/>
    <w:rsid w:val="00662832"/>
    <w:rsid w:val="00671857"/>
    <w:rsid w:val="00672F3F"/>
    <w:rsid w:val="0073575C"/>
    <w:rsid w:val="00746A7B"/>
    <w:rsid w:val="00790395"/>
    <w:rsid w:val="007B012B"/>
    <w:rsid w:val="007B03D3"/>
    <w:rsid w:val="007D7D0E"/>
    <w:rsid w:val="007F5224"/>
    <w:rsid w:val="0080541A"/>
    <w:rsid w:val="00863BDA"/>
    <w:rsid w:val="008D2EBF"/>
    <w:rsid w:val="008F4FEB"/>
    <w:rsid w:val="00903558"/>
    <w:rsid w:val="00907F6B"/>
    <w:rsid w:val="009571E0"/>
    <w:rsid w:val="00A12448"/>
    <w:rsid w:val="00A20D63"/>
    <w:rsid w:val="00A90681"/>
    <w:rsid w:val="00B16599"/>
    <w:rsid w:val="00B34130"/>
    <w:rsid w:val="00B47BED"/>
    <w:rsid w:val="00BA0607"/>
    <w:rsid w:val="00BC326D"/>
    <w:rsid w:val="00C4564E"/>
    <w:rsid w:val="00C5264D"/>
    <w:rsid w:val="00C66BF8"/>
    <w:rsid w:val="00C92E7A"/>
    <w:rsid w:val="00CA17D5"/>
    <w:rsid w:val="00D13E36"/>
    <w:rsid w:val="00D16731"/>
    <w:rsid w:val="00D324DF"/>
    <w:rsid w:val="00D52CE1"/>
    <w:rsid w:val="00D707D2"/>
    <w:rsid w:val="00DF69E5"/>
    <w:rsid w:val="00F046BE"/>
    <w:rsid w:val="00F20B38"/>
    <w:rsid w:val="00F21D0D"/>
    <w:rsid w:val="00F21D64"/>
    <w:rsid w:val="00FB6B76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B1659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0E2C3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rado.ing.biomedica@uva.e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99621-EEEA-4F13-BAD0-445386D6D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387</Words>
  <Characters>2239</Characters>
  <Application>Microsoft Office Word</Application>
  <DocSecurity>0</DocSecurity>
  <Lines>42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RODRIGO DE LUIS GARCIA</cp:lastModifiedBy>
  <cp:revision>6</cp:revision>
  <cp:lastPrinted>2022-06-16T18:10:00Z</cp:lastPrinted>
  <dcterms:created xsi:type="dcterms:W3CDTF">2025-02-07T08:54:00Z</dcterms:created>
  <dcterms:modified xsi:type="dcterms:W3CDTF">2025-02-07T10:52:00Z</dcterms:modified>
</cp:coreProperties>
</file>