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351"/>
        <w:gridCol w:w="283"/>
      </w:tblGrid>
      <w:tr w:rsidR="00191454" w:rsidRPr="00E6361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E63615" w14:paraId="3E74CEF6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3283A4D1" w14:textId="4195966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E63615">
              <w:rPr>
                <w:b/>
                <w:bCs/>
                <w:sz w:val="22"/>
                <w:szCs w:val="22"/>
                <w:lang w:val="es-ES"/>
              </w:rPr>
              <w:t xml:space="preserve"> Aplicación de técnicas de inteligencia artificial para la </w:t>
            </w:r>
            <w:r w:rsidR="00707266">
              <w:rPr>
                <w:b/>
                <w:bCs/>
                <w:sz w:val="22"/>
                <w:szCs w:val="22"/>
                <w:lang w:val="es-ES"/>
              </w:rPr>
              <w:t>predicción</w:t>
            </w:r>
            <w:r w:rsidR="00C52321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63615">
              <w:rPr>
                <w:b/>
                <w:bCs/>
                <w:sz w:val="22"/>
                <w:szCs w:val="22"/>
                <w:lang w:val="es-ES"/>
              </w:rPr>
              <w:t>de resistencias bacterianas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0118E" w14:paraId="33AEB1BD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2234899D" w14:textId="03E186E3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0118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0118E" w:rsidRPr="00D0118E">
              <w:rPr>
                <w:b/>
                <w:bCs/>
                <w:sz w:val="22"/>
                <w:szCs w:val="22"/>
                <w:lang w:val="es-ES"/>
              </w:rPr>
              <w:t>Rocío López Herrero / Fernando Vaquerizo Villar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B5860" w14:paraId="7B8F0F8F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4FE55BE7" w14:textId="5397A79B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B5860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0B5860" w:rsidRPr="000B5860">
              <w:rPr>
                <w:b/>
                <w:bCs/>
                <w:sz w:val="22"/>
                <w:szCs w:val="22"/>
                <w:lang w:val="es-ES"/>
              </w:rPr>
              <w:t>Cirugía, Oftalmología, Otorrinolaringología y Fisioterapia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62597A" w14:paraId="39411455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16DD606F" w14:textId="77777777" w:rsidR="0062597A" w:rsidRDefault="00532743" w:rsidP="0062597A">
            <w:pPr>
              <w:jc w:val="both"/>
              <w:rPr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  <w:r w:rsidR="0062597A" w:rsidRPr="0062597A">
              <w:rPr>
                <w:lang w:val="es-ES"/>
              </w:rPr>
              <w:t xml:space="preserve"> </w:t>
            </w:r>
          </w:p>
          <w:p w14:paraId="58FB0E1C" w14:textId="671FDB9E" w:rsidR="004362DB" w:rsidRDefault="004362DB" w:rsidP="0062597A">
            <w:pPr>
              <w:jc w:val="both"/>
              <w:rPr>
                <w:sz w:val="22"/>
                <w:szCs w:val="22"/>
                <w:lang w:val="es-ES"/>
              </w:rPr>
            </w:pPr>
            <w:r w:rsidRPr="004362DB">
              <w:rPr>
                <w:sz w:val="22"/>
                <w:szCs w:val="22"/>
                <w:lang w:val="es-ES"/>
              </w:rPr>
              <w:t>La resistencia a los antimicrobianos es una grave amenaza para la salud pública, con 4</w:t>
            </w:r>
            <w:r w:rsidR="00003695">
              <w:rPr>
                <w:sz w:val="22"/>
                <w:szCs w:val="22"/>
                <w:lang w:val="es-ES"/>
              </w:rPr>
              <w:t>.</w:t>
            </w:r>
            <w:r w:rsidRPr="004362DB">
              <w:rPr>
                <w:sz w:val="22"/>
                <w:szCs w:val="22"/>
                <w:lang w:val="es-ES"/>
              </w:rPr>
              <w:t>95 millones de muertes relacionadas en 2019. El uso inapropiado de antibióticos, especialmente en hospitales, es un factor clave</w:t>
            </w:r>
            <w:r>
              <w:rPr>
                <w:sz w:val="22"/>
                <w:szCs w:val="22"/>
                <w:lang w:val="es-ES"/>
              </w:rPr>
              <w:t xml:space="preserve"> en el desarrollo de resistencias bacterianas</w:t>
            </w:r>
            <w:r w:rsidRPr="004362DB">
              <w:rPr>
                <w:sz w:val="22"/>
                <w:szCs w:val="22"/>
                <w:lang w:val="es-ES"/>
              </w:rPr>
              <w:t>, con hasta el 50% de los tratamientos siendo inadecuados. Los diagnósticos rápidos, como la PCR y la secuenciación del genoma, son útiles pero limitados a casos críticos, lo que retrasa la detección de resistencias bacterianas.</w:t>
            </w:r>
            <w:r>
              <w:rPr>
                <w:sz w:val="22"/>
                <w:szCs w:val="22"/>
                <w:lang w:val="es-ES"/>
              </w:rPr>
              <w:t xml:space="preserve"> </w:t>
            </w:r>
          </w:p>
          <w:p w14:paraId="0FC301F8" w14:textId="56E70642" w:rsidR="0062597A" w:rsidRPr="0062597A" w:rsidRDefault="0062597A" w:rsidP="0062597A">
            <w:pPr>
              <w:jc w:val="both"/>
              <w:rPr>
                <w:sz w:val="22"/>
                <w:szCs w:val="22"/>
                <w:lang w:val="es-ES"/>
              </w:rPr>
            </w:pPr>
            <w:r w:rsidRPr="0062597A">
              <w:rPr>
                <w:sz w:val="22"/>
                <w:szCs w:val="22"/>
                <w:lang w:val="es-ES"/>
              </w:rPr>
              <w:t xml:space="preserve">El objetivo de este proyecto formativo consistirá en diseñar y evaluar diversas técnicas de inteligencia artificial para </w:t>
            </w:r>
            <w:r w:rsidR="00E959BF">
              <w:rPr>
                <w:sz w:val="22"/>
                <w:szCs w:val="22"/>
                <w:lang w:val="es-ES"/>
              </w:rPr>
              <w:t>predecir</w:t>
            </w:r>
            <w:r w:rsidRPr="0062597A">
              <w:rPr>
                <w:sz w:val="22"/>
                <w:szCs w:val="22"/>
                <w:lang w:val="es-ES"/>
              </w:rPr>
              <w:t xml:space="preserve">, a partir de datos de </w:t>
            </w:r>
            <w:r w:rsidR="004362DB">
              <w:rPr>
                <w:sz w:val="22"/>
                <w:szCs w:val="22"/>
                <w:lang w:val="es-ES"/>
              </w:rPr>
              <w:t>microbiología y farmacología</w:t>
            </w:r>
            <w:r w:rsidRPr="0062597A">
              <w:rPr>
                <w:sz w:val="22"/>
                <w:szCs w:val="22"/>
                <w:lang w:val="es-ES"/>
              </w:rPr>
              <w:t xml:space="preserve">, </w:t>
            </w:r>
            <w:r w:rsidR="004362DB">
              <w:rPr>
                <w:sz w:val="22"/>
                <w:szCs w:val="22"/>
                <w:lang w:val="es-ES"/>
              </w:rPr>
              <w:t>el desarrollo de resistencias bacterianas</w:t>
            </w:r>
            <w:r w:rsidR="00E959BF">
              <w:rPr>
                <w:sz w:val="22"/>
                <w:szCs w:val="22"/>
                <w:lang w:val="es-ES"/>
              </w:rPr>
              <w:t>, así como identificar sus factores de riesgo.</w:t>
            </w:r>
          </w:p>
          <w:p w14:paraId="3A54DB02" w14:textId="472F3EEA" w:rsidR="00532743" w:rsidRPr="004F5A97" w:rsidRDefault="0062597A" w:rsidP="0062597A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62597A">
              <w:rPr>
                <w:sz w:val="22"/>
                <w:szCs w:val="22"/>
                <w:lang w:val="es-ES"/>
              </w:rPr>
              <w:t xml:space="preserve">El alumno tendrá la oportunidad de trabajar en dos Grupo de Investigación multidisciplinares (Grupo de Ingeniería Biomédica y </w:t>
            </w:r>
            <w:proofErr w:type="spellStart"/>
            <w:r w:rsidRPr="0062597A">
              <w:rPr>
                <w:sz w:val="22"/>
                <w:szCs w:val="22"/>
                <w:lang w:val="es-ES"/>
              </w:rPr>
              <w:t>BioCritic</w:t>
            </w:r>
            <w:proofErr w:type="spellEnd"/>
            <w:r w:rsidRPr="0062597A">
              <w:rPr>
                <w:sz w:val="22"/>
                <w:szCs w:val="22"/>
                <w:lang w:val="es-ES"/>
              </w:rPr>
              <w:t>), formados por ingenieros, biólogos y médicos de diferentes especialidades.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A16AC" w14:paraId="568B6061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1B8B8612" w14:textId="6C8914BD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352942">
              <w:rPr>
                <w:b/>
                <w:bCs/>
                <w:sz w:val="22"/>
                <w:szCs w:val="22"/>
                <w:lang w:val="es-ES"/>
              </w:rPr>
              <w:t xml:space="preserve"> Resistencias bacterianas, </w:t>
            </w:r>
            <w:r w:rsidR="00E0269F">
              <w:rPr>
                <w:b/>
                <w:bCs/>
                <w:sz w:val="22"/>
                <w:szCs w:val="22"/>
                <w:lang w:val="es-ES"/>
              </w:rPr>
              <w:t>antibióticos,</w:t>
            </w:r>
            <w:r w:rsidR="00CB7579">
              <w:rPr>
                <w:b/>
                <w:bCs/>
                <w:sz w:val="22"/>
                <w:szCs w:val="22"/>
                <w:lang w:val="es-ES"/>
              </w:rPr>
              <w:t xml:space="preserve"> inteligencia artificial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63615" w14:paraId="3AC08E72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21FE42D4" w14:textId="27A2E57B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  <w:r w:rsidR="00922F57">
              <w:rPr>
                <w:b/>
                <w:bCs/>
                <w:sz w:val="22"/>
                <w:szCs w:val="22"/>
                <w:lang w:val="es-ES"/>
              </w:rPr>
              <w:t xml:space="preserve">: </w:t>
            </w:r>
            <w:r w:rsidR="00922F57" w:rsidRPr="00922F57">
              <w:rPr>
                <w:b/>
                <w:bCs/>
                <w:sz w:val="22"/>
                <w:szCs w:val="22"/>
                <w:lang w:val="es-ES"/>
              </w:rPr>
              <w:t>CT1, CE1, CE9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6361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0CDB6FAC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007028">
              <w:rPr>
                <w:sz w:val="22"/>
                <w:szCs w:val="22"/>
                <w:lang w:val="es-ES"/>
              </w:rPr>
              <w:t xml:space="preserve"> Diego Mendiluce</w:t>
            </w:r>
            <w:r w:rsidR="00D30C33">
              <w:rPr>
                <w:sz w:val="22"/>
                <w:szCs w:val="22"/>
                <w:lang w:val="es-ES"/>
              </w:rPr>
              <w:t xml:space="preserve"> González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351"/>
        <w:gridCol w:w="283"/>
      </w:tblGrid>
      <w:tr w:rsidR="00191454" w:rsidRPr="00E6361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007028" w:rsidRPr="00007028" w14:paraId="65F915EF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24C24D6F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Presidente: </w:t>
            </w:r>
            <w: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Eduardo Tamayo Gómez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</w:t>
            </w:r>
            <w:r w:rsidRPr="00E52F3E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Dpto. Cirugía, Oftalmología, Otorrinolaringología y Fisioterapia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77CAE734" w14:textId="2618E97E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3E14A96E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007028" w14:paraId="1A5DFC4D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137F6D23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Secretario: </w:t>
            </w:r>
            <w: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Rocío López Herrero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(Dpto. </w:t>
            </w:r>
            <w:r w:rsidRPr="00E12139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Cirugía, Oftalmología, Otorrinolaringología y Fisioterapia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1FCB6B96" w14:textId="4D2159D0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9EB1356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007028" w14:paraId="290C9998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512CFB69" w14:textId="0346F2B0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Vocal: </w:t>
            </w:r>
            <w:r w:rsidR="00D30C33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Gonzalo César Gutiérrez Tobal</w:t>
            </w:r>
            <w:r w:rsidRPr="005807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(Dpto. Teoría de la Señal y Comunicaciones e Ingeniería Telemática)</w:t>
            </w:r>
          </w:p>
          <w:p w14:paraId="22A4DDAE" w14:textId="1A8A92C3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9D92F88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007028" w14:paraId="2A2E43DE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6A1EE009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Suplente 1: </w:t>
            </w:r>
            <w: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Estefanía Gómez Pesquera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(Dpto. </w:t>
            </w:r>
            <w:r w:rsidRPr="00804AC5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Cirugía, Oftalmología, Otorrinolaringología y</w:t>
            </w:r>
            <w:r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804AC5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Fisioterapia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636D3036" w14:textId="45B5CA4E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6EDF7935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007028" w14:paraId="558C1512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4A7D32EB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Suplente 2: </w:t>
            </w:r>
            <w:r w:rsidRPr="00914C7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Esther Gómez Sánchez</w:t>
            </w: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(Dpto. Cirugía, Oftalmología, Otorrinolaringología y Fisioterapia)</w:t>
            </w:r>
          </w:p>
          <w:p w14:paraId="4BEE6501" w14:textId="3D85A0F9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BE5BADC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D125E" w14:textId="77777777" w:rsidR="00987153" w:rsidRDefault="00987153" w:rsidP="001A5F33">
      <w:r>
        <w:separator/>
      </w:r>
    </w:p>
  </w:endnote>
  <w:endnote w:type="continuationSeparator" w:id="0">
    <w:p w14:paraId="0F868B1D" w14:textId="77777777" w:rsidR="00987153" w:rsidRDefault="0098715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E63615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2B890" w14:textId="77777777" w:rsidR="00987153" w:rsidRDefault="00987153" w:rsidP="001A5F33">
      <w:r>
        <w:separator/>
      </w:r>
    </w:p>
  </w:footnote>
  <w:footnote w:type="continuationSeparator" w:id="0">
    <w:p w14:paraId="0C0317D8" w14:textId="77777777" w:rsidR="00987153" w:rsidRDefault="0098715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63915042">
    <w:abstractNumId w:val="1"/>
  </w:num>
  <w:num w:numId="2" w16cid:durableId="1617325860">
    <w:abstractNumId w:val="0"/>
  </w:num>
  <w:num w:numId="3" w16cid:durableId="1043793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3695"/>
    <w:rsid w:val="00007028"/>
    <w:rsid w:val="00060800"/>
    <w:rsid w:val="00080733"/>
    <w:rsid w:val="00094E5F"/>
    <w:rsid w:val="000A16AC"/>
    <w:rsid w:val="000A41E6"/>
    <w:rsid w:val="000A443E"/>
    <w:rsid w:val="000B5860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2857BC"/>
    <w:rsid w:val="00306D6E"/>
    <w:rsid w:val="003167BA"/>
    <w:rsid w:val="00352942"/>
    <w:rsid w:val="00394C26"/>
    <w:rsid w:val="003A2734"/>
    <w:rsid w:val="003B3ADF"/>
    <w:rsid w:val="00400C29"/>
    <w:rsid w:val="004362DB"/>
    <w:rsid w:val="004F5A97"/>
    <w:rsid w:val="00512C3F"/>
    <w:rsid w:val="00532743"/>
    <w:rsid w:val="005428E9"/>
    <w:rsid w:val="005549A2"/>
    <w:rsid w:val="005B420F"/>
    <w:rsid w:val="00622B54"/>
    <w:rsid w:val="0062597A"/>
    <w:rsid w:val="0063749D"/>
    <w:rsid w:val="00671857"/>
    <w:rsid w:val="00672F3F"/>
    <w:rsid w:val="00702A64"/>
    <w:rsid w:val="00707266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22F57"/>
    <w:rsid w:val="009571E0"/>
    <w:rsid w:val="00987153"/>
    <w:rsid w:val="00A20D63"/>
    <w:rsid w:val="00B47BED"/>
    <w:rsid w:val="00BA0607"/>
    <w:rsid w:val="00BC326D"/>
    <w:rsid w:val="00BE3499"/>
    <w:rsid w:val="00C4564E"/>
    <w:rsid w:val="00C52321"/>
    <w:rsid w:val="00C5264D"/>
    <w:rsid w:val="00C66BF8"/>
    <w:rsid w:val="00C92E7A"/>
    <w:rsid w:val="00CA17D5"/>
    <w:rsid w:val="00CB7579"/>
    <w:rsid w:val="00D0118E"/>
    <w:rsid w:val="00D13E36"/>
    <w:rsid w:val="00D16731"/>
    <w:rsid w:val="00D30C33"/>
    <w:rsid w:val="00D52CE1"/>
    <w:rsid w:val="00D707D2"/>
    <w:rsid w:val="00DF69E5"/>
    <w:rsid w:val="00E0269F"/>
    <w:rsid w:val="00E63615"/>
    <w:rsid w:val="00E959BF"/>
    <w:rsid w:val="00F046BE"/>
    <w:rsid w:val="00F20B38"/>
    <w:rsid w:val="00F21D0D"/>
    <w:rsid w:val="00F61740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FERNANDO VAQUERIZO VILLAR</cp:lastModifiedBy>
  <cp:revision>40</cp:revision>
  <cp:lastPrinted>2022-06-16T18:10:00Z</cp:lastPrinted>
  <dcterms:created xsi:type="dcterms:W3CDTF">2022-06-16T18:58:00Z</dcterms:created>
  <dcterms:modified xsi:type="dcterms:W3CDTF">2024-10-10T16:49:00Z</dcterms:modified>
</cp:coreProperties>
</file>