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B333A" w14:textId="77777777" w:rsidR="00C652F3" w:rsidRPr="00C652F3" w:rsidRDefault="00C652F3" w:rsidP="00C652F3">
      <w:pPr>
        <w:jc w:val="center"/>
        <w:rPr>
          <w:rFonts w:ascii="Calibri" w:eastAsia="Calibri" w:hAnsi="Calibri" w:cs="Times New Roman"/>
          <w:b/>
          <w:bCs/>
          <w:sz w:val="28"/>
          <w:szCs w:val="28"/>
          <w:lang w:val="es-ES"/>
        </w:rPr>
      </w:pPr>
      <w:r w:rsidRPr="00C652F3">
        <w:rPr>
          <w:rFonts w:ascii="Calibri" w:eastAsia="Calibri" w:hAnsi="Calibri" w:cs="Times New Roman"/>
          <w:b/>
          <w:bCs/>
          <w:sz w:val="28"/>
          <w:szCs w:val="28"/>
          <w:lang w:val="es-ES"/>
        </w:rPr>
        <w:t>Propuesta de Trabajo de Fin de Grado</w:t>
      </w:r>
    </w:p>
    <w:p w14:paraId="5C08FC07" w14:textId="77777777" w:rsidR="00C652F3" w:rsidRPr="00C652F3" w:rsidRDefault="00C652F3" w:rsidP="00C652F3">
      <w:pPr>
        <w:rPr>
          <w:rFonts w:ascii="Calibri" w:eastAsia="Calibri" w:hAnsi="Calibri" w:cs="Times New Roman"/>
          <w:lang w:val="es-ES"/>
        </w:rPr>
      </w:pPr>
    </w:p>
    <w:tbl>
      <w:tblPr>
        <w:tblStyle w:val="Tablaconcuadrcula1"/>
        <w:tblW w:w="9634" w:type="dxa"/>
        <w:tblInd w:w="0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C652F3" w:rsidRPr="009660C5" w14:paraId="6CB2D9BD" w14:textId="77777777" w:rsidTr="00C652F3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A1A"/>
            <w:vAlign w:val="center"/>
            <w:hideMark/>
          </w:tcPr>
          <w:p w14:paraId="5FB98F14" w14:textId="77777777" w:rsidR="00C652F3" w:rsidRPr="00C652F3" w:rsidRDefault="00C652F3" w:rsidP="00C652F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>Datos del Trabajo de Fin de Grado</w:t>
            </w:r>
          </w:p>
        </w:tc>
      </w:tr>
      <w:tr w:rsidR="00C652F3" w:rsidRPr="009660C5" w14:paraId="5AD44F0C" w14:textId="77777777" w:rsidTr="00C652F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5821F2" w14:textId="77777777" w:rsidR="00C652F3" w:rsidRPr="00C652F3" w:rsidRDefault="00C652F3" w:rsidP="00C652F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 xml:space="preserve">Título: 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B052C" w14:textId="77777777" w:rsidR="00C652F3" w:rsidRPr="00C652F3" w:rsidRDefault="00C652F3" w:rsidP="00C652F3">
            <w:pPr>
              <w:rPr>
                <w:sz w:val="22"/>
                <w:szCs w:val="22"/>
                <w:lang w:val="es-ES"/>
              </w:rPr>
            </w:pPr>
          </w:p>
          <w:p w14:paraId="7BA25507" w14:textId="41666FDD" w:rsidR="00C652F3" w:rsidRPr="00C652F3" w:rsidRDefault="00335D1D" w:rsidP="00C652F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Conectómica basada en imagen por resonancia magnética de difusión para la evaluación y predicción de la evolución longitudinal en cefalea persistente asociada con COVID-19 </w:t>
            </w:r>
          </w:p>
          <w:p w14:paraId="1DA4EAE7" w14:textId="77777777" w:rsidR="00C652F3" w:rsidRPr="00C652F3" w:rsidRDefault="00C652F3" w:rsidP="00C652F3">
            <w:pPr>
              <w:rPr>
                <w:sz w:val="22"/>
                <w:szCs w:val="22"/>
                <w:lang w:val="es-ES"/>
              </w:rPr>
            </w:pPr>
          </w:p>
        </w:tc>
      </w:tr>
      <w:tr w:rsidR="00C652F3" w:rsidRPr="009660C5" w14:paraId="4DA62CEF" w14:textId="77777777" w:rsidTr="00C652F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E962DE" w14:textId="77777777" w:rsidR="00C652F3" w:rsidRPr="00C652F3" w:rsidRDefault="00C652F3" w:rsidP="00C652F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29A85" w14:textId="77777777" w:rsidR="00C652F3" w:rsidRPr="00C652F3" w:rsidRDefault="00C652F3" w:rsidP="00C652F3">
            <w:pPr>
              <w:rPr>
                <w:sz w:val="22"/>
                <w:szCs w:val="22"/>
                <w:lang w:val="es-ES"/>
              </w:rPr>
            </w:pPr>
          </w:p>
          <w:p w14:paraId="366E98D0" w14:textId="5BFCB2C8" w:rsidR="00C652F3" w:rsidRPr="00C652F3" w:rsidRDefault="00C652F3" w:rsidP="00C652F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Álvaro Planchuelo Gómez</w:t>
            </w:r>
            <w:r w:rsidR="00CF3944">
              <w:rPr>
                <w:sz w:val="22"/>
                <w:szCs w:val="22"/>
                <w:lang w:val="es-ES"/>
              </w:rPr>
              <w:t>,</w:t>
            </w:r>
            <w:r>
              <w:rPr>
                <w:sz w:val="22"/>
                <w:szCs w:val="22"/>
                <w:lang w:val="es-ES"/>
              </w:rPr>
              <w:t xml:space="preserve"> Santiago Aja Fernández</w:t>
            </w:r>
          </w:p>
          <w:p w14:paraId="4BE93BC1" w14:textId="77777777" w:rsidR="00C652F3" w:rsidRPr="00C652F3" w:rsidRDefault="00C652F3" w:rsidP="00C652F3">
            <w:pPr>
              <w:rPr>
                <w:sz w:val="22"/>
                <w:szCs w:val="22"/>
                <w:lang w:val="es-ES"/>
              </w:rPr>
            </w:pPr>
          </w:p>
        </w:tc>
      </w:tr>
      <w:tr w:rsidR="00C652F3" w:rsidRPr="009660C5" w14:paraId="179F712A" w14:textId="77777777" w:rsidTr="00C652F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16B426" w14:textId="77777777" w:rsidR="00C652F3" w:rsidRPr="00C652F3" w:rsidRDefault="00C652F3" w:rsidP="00C652F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A0227" w14:textId="77777777" w:rsidR="00C652F3" w:rsidRPr="00C652F3" w:rsidRDefault="00C652F3" w:rsidP="00C652F3">
            <w:pPr>
              <w:spacing w:line="256" w:lineRule="auto"/>
              <w:rPr>
                <w:rFonts w:cs="Calibri"/>
                <w:color w:val="000000" w:themeColor="text1"/>
                <w:sz w:val="22"/>
                <w:szCs w:val="22"/>
                <w:lang w:val="es-ES"/>
              </w:rPr>
            </w:pPr>
            <w:r w:rsidRPr="00C652F3">
              <w:rPr>
                <w:lang w:val="es-ES"/>
              </w:rPr>
              <w:br/>
            </w:r>
            <w:r w:rsidRPr="00C652F3">
              <w:rPr>
                <w:rFonts w:cs="Calibri"/>
                <w:color w:val="000000" w:themeColor="text1"/>
                <w:sz w:val="22"/>
                <w:szCs w:val="22"/>
                <w:lang w:val="es-ES"/>
              </w:rPr>
              <w:t>Departamento de Teoría de la Señal y Comunicaciones e Ingeniería Telemática (TSCIT)</w:t>
            </w:r>
          </w:p>
          <w:p w14:paraId="68015ED1" w14:textId="77777777" w:rsidR="00C652F3" w:rsidRPr="00C652F3" w:rsidRDefault="00C652F3" w:rsidP="00C652F3">
            <w:pPr>
              <w:rPr>
                <w:sz w:val="22"/>
                <w:szCs w:val="22"/>
                <w:lang w:val="es-ES"/>
              </w:rPr>
            </w:pPr>
          </w:p>
        </w:tc>
      </w:tr>
      <w:tr w:rsidR="00C652F3" w:rsidRPr="009660C5" w14:paraId="0A9BC51B" w14:textId="77777777" w:rsidTr="00C652F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C507B0" w14:textId="77777777" w:rsidR="00C652F3" w:rsidRPr="00C652F3" w:rsidRDefault="00C652F3" w:rsidP="00C652F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4C3F4" w14:textId="77777777" w:rsidR="00C652F3" w:rsidRPr="00C652F3" w:rsidRDefault="00C652F3" w:rsidP="00C652F3">
            <w:pPr>
              <w:rPr>
                <w:rFonts w:cs="Calibri"/>
                <w:bCs/>
                <w:color w:val="000000" w:themeColor="text1"/>
                <w:sz w:val="22"/>
                <w:szCs w:val="22"/>
                <w:lang w:val="es-ES"/>
              </w:rPr>
            </w:pPr>
          </w:p>
          <w:p w14:paraId="3E9E3963" w14:textId="7B90B9D1" w:rsidR="00C652F3" w:rsidRDefault="00335D1D" w:rsidP="00D02B2F">
            <w:pPr>
              <w:jc w:val="both"/>
              <w:rPr>
                <w:rFonts w:cs="Calibri"/>
                <w:bCs/>
                <w:color w:val="000000" w:themeColor="text1"/>
                <w:lang w:val="es-ES"/>
              </w:rPr>
            </w:pPr>
            <w:r>
              <w:rPr>
                <w:rFonts w:cs="Calibri"/>
                <w:bCs/>
                <w:color w:val="000000" w:themeColor="text1"/>
                <w:lang w:val="es-ES"/>
              </w:rPr>
              <w:t xml:space="preserve">La conectómica ha surgido como una técnica clave en el modelado de la conectividad cerebral a partir de imagen por resonancia magnética de difusión (dMRI), aportando información acerca de las conexiones estructurales en múltiples patologías neurológicas y psiquiátricas. Sin embargo, no se ha empleado para el análisis de la cefalea persistente asociada con COVID-19, </w:t>
            </w:r>
            <w:r w:rsidR="0045672E">
              <w:rPr>
                <w:rFonts w:cs="Calibri"/>
                <w:bCs/>
                <w:color w:val="000000" w:themeColor="text1"/>
                <w:lang w:val="es-ES"/>
              </w:rPr>
              <w:t>desarrollada</w:t>
            </w:r>
            <w:r>
              <w:rPr>
                <w:rFonts w:cs="Calibri"/>
                <w:bCs/>
                <w:color w:val="000000" w:themeColor="text1"/>
                <w:lang w:val="es-ES"/>
              </w:rPr>
              <w:t xml:space="preserve"> en aproximadamente la quinta parte de los pacientes con cefalea</w:t>
            </w:r>
            <w:r w:rsidR="0029187A">
              <w:rPr>
                <w:rFonts w:cs="Calibri"/>
                <w:bCs/>
                <w:color w:val="000000" w:themeColor="text1"/>
                <w:lang w:val="es-ES"/>
              </w:rPr>
              <w:t xml:space="preserve"> en la fase aguda de la enfermedad</w:t>
            </w:r>
            <w:r>
              <w:rPr>
                <w:rFonts w:cs="Calibri"/>
                <w:bCs/>
                <w:color w:val="000000" w:themeColor="text1"/>
                <w:lang w:val="es-ES"/>
              </w:rPr>
              <w:t>,</w:t>
            </w:r>
            <w:r w:rsidR="0029187A">
              <w:rPr>
                <w:rFonts w:cs="Calibri"/>
                <w:bCs/>
                <w:color w:val="000000" w:themeColor="text1"/>
                <w:lang w:val="es-ES"/>
              </w:rPr>
              <w:t xml:space="preserve"> siendo</w:t>
            </w:r>
            <w:r>
              <w:rPr>
                <w:rFonts w:cs="Calibri"/>
                <w:bCs/>
                <w:color w:val="000000" w:themeColor="text1"/>
                <w:lang w:val="es-ES"/>
              </w:rPr>
              <w:t xml:space="preserve"> uno de los síntomas más</w:t>
            </w:r>
            <w:r w:rsidR="0029187A">
              <w:rPr>
                <w:rFonts w:cs="Calibri"/>
                <w:bCs/>
                <w:color w:val="000000" w:themeColor="text1"/>
                <w:lang w:val="es-ES"/>
              </w:rPr>
              <w:t xml:space="preserve"> comunes</w:t>
            </w:r>
            <w:r>
              <w:rPr>
                <w:rFonts w:cs="Calibri"/>
                <w:bCs/>
                <w:color w:val="000000" w:themeColor="text1"/>
                <w:lang w:val="es-ES"/>
              </w:rPr>
              <w:t>.</w:t>
            </w:r>
          </w:p>
          <w:p w14:paraId="32CC1204" w14:textId="77777777" w:rsidR="00335D1D" w:rsidRDefault="00335D1D" w:rsidP="00D02B2F">
            <w:pPr>
              <w:jc w:val="both"/>
              <w:rPr>
                <w:rFonts w:cs="Calibri"/>
                <w:bCs/>
                <w:color w:val="000000" w:themeColor="text1"/>
                <w:lang w:val="es-ES"/>
              </w:rPr>
            </w:pPr>
          </w:p>
          <w:p w14:paraId="64E1F6D3" w14:textId="460E59FE" w:rsidR="00924C41" w:rsidRDefault="00335D1D" w:rsidP="00D02B2F">
            <w:pPr>
              <w:jc w:val="both"/>
              <w:rPr>
                <w:rFonts w:cs="Calibri"/>
                <w:bCs/>
                <w:color w:val="000000" w:themeColor="text1"/>
                <w:lang w:val="es-ES"/>
              </w:rPr>
            </w:pPr>
            <w:r>
              <w:rPr>
                <w:rFonts w:cs="Calibri"/>
                <w:bCs/>
                <w:color w:val="000000" w:themeColor="text1"/>
                <w:lang w:val="es-ES"/>
              </w:rPr>
              <w:t>Este TFG plantea el procesado de dos adquisiciones</w:t>
            </w:r>
            <w:r w:rsidR="00826066">
              <w:rPr>
                <w:rFonts w:cs="Calibri"/>
                <w:bCs/>
                <w:color w:val="000000" w:themeColor="text1"/>
                <w:lang w:val="es-ES"/>
              </w:rPr>
              <w:t xml:space="preserve"> longitudinales</w:t>
            </w:r>
            <w:r>
              <w:rPr>
                <w:rFonts w:cs="Calibri"/>
                <w:bCs/>
                <w:color w:val="000000" w:themeColor="text1"/>
                <w:lang w:val="es-ES"/>
              </w:rPr>
              <w:t xml:space="preserve"> de dMRI, separadas al menos 1 año, en pacientes con cefalea asociada con COVID-19 para adquirir matrices de conectómica.</w:t>
            </w:r>
            <w:r w:rsidR="00826066">
              <w:rPr>
                <w:rFonts w:cs="Calibri"/>
                <w:bCs/>
                <w:color w:val="000000" w:themeColor="text1"/>
                <w:lang w:val="es-ES"/>
              </w:rPr>
              <w:t xml:space="preserve"> El trabajo incluirá</w:t>
            </w:r>
            <w:r w:rsidR="00924C41">
              <w:rPr>
                <w:rFonts w:cs="Calibri"/>
                <w:bCs/>
                <w:color w:val="000000" w:themeColor="text1"/>
                <w:lang w:val="es-ES"/>
              </w:rPr>
              <w:t xml:space="preserve"> adicionalmente</w:t>
            </w:r>
            <w:r w:rsidR="00826066">
              <w:rPr>
                <w:rFonts w:cs="Calibri"/>
                <w:bCs/>
                <w:color w:val="000000" w:themeColor="text1"/>
                <w:lang w:val="es-ES"/>
              </w:rPr>
              <w:t xml:space="preserve"> el análisis longitudinal y </w:t>
            </w:r>
            <w:r w:rsidR="00F60F0F">
              <w:rPr>
                <w:rFonts w:cs="Calibri"/>
                <w:bCs/>
                <w:color w:val="000000" w:themeColor="text1"/>
                <w:lang w:val="es-ES"/>
              </w:rPr>
              <w:t>la implementación</w:t>
            </w:r>
            <w:r w:rsidR="00826066">
              <w:rPr>
                <w:rFonts w:cs="Calibri"/>
                <w:bCs/>
                <w:color w:val="000000" w:themeColor="text1"/>
                <w:lang w:val="es-ES"/>
              </w:rPr>
              <w:t xml:space="preserve"> de modelos</w:t>
            </w:r>
            <w:r w:rsidR="00BA52E2">
              <w:rPr>
                <w:rFonts w:cs="Calibri"/>
                <w:bCs/>
                <w:color w:val="000000" w:themeColor="text1"/>
                <w:lang w:val="es-ES"/>
              </w:rPr>
              <w:t xml:space="preserve"> de </w:t>
            </w:r>
            <w:r w:rsidR="00BA52E2" w:rsidRPr="00BA52E2">
              <w:rPr>
                <w:rFonts w:cs="Calibri"/>
                <w:bCs/>
                <w:i/>
                <w:iCs/>
                <w:color w:val="000000" w:themeColor="text1"/>
                <w:lang w:val="es-ES"/>
              </w:rPr>
              <w:t>Machine Learning</w:t>
            </w:r>
            <w:r w:rsidR="00826066">
              <w:rPr>
                <w:rFonts w:cs="Calibri"/>
                <w:bCs/>
                <w:color w:val="000000" w:themeColor="text1"/>
                <w:lang w:val="es-ES"/>
              </w:rPr>
              <w:t xml:space="preserve"> </w:t>
            </w:r>
            <w:r w:rsidR="00BA52E2">
              <w:rPr>
                <w:rFonts w:cs="Calibri"/>
                <w:bCs/>
                <w:color w:val="000000" w:themeColor="text1"/>
                <w:lang w:val="es-ES"/>
              </w:rPr>
              <w:t>para la</w:t>
            </w:r>
            <w:r w:rsidR="00826066">
              <w:rPr>
                <w:rFonts w:cs="Calibri"/>
                <w:bCs/>
                <w:color w:val="000000" w:themeColor="text1"/>
                <w:lang w:val="es-ES"/>
              </w:rPr>
              <w:t xml:space="preserve"> predicción de la evolución clínica</w:t>
            </w:r>
            <w:r w:rsidR="00924C41">
              <w:rPr>
                <w:rFonts w:cs="Calibri"/>
                <w:bCs/>
                <w:color w:val="000000" w:themeColor="text1"/>
                <w:lang w:val="es-ES"/>
              </w:rPr>
              <w:t>, basada en la reducción de la frecuencia mensual de cefalea,</w:t>
            </w:r>
            <w:r w:rsidR="00826066">
              <w:rPr>
                <w:rFonts w:cs="Calibri"/>
                <w:bCs/>
                <w:color w:val="000000" w:themeColor="text1"/>
                <w:lang w:val="es-ES"/>
              </w:rPr>
              <w:t xml:space="preserve"> aplicados a los parámetros obtenidos de conectómica tanto longitudinales como basales</w:t>
            </w:r>
            <w:r w:rsidR="00924C41">
              <w:rPr>
                <w:rFonts w:cs="Calibri"/>
                <w:bCs/>
                <w:color w:val="000000" w:themeColor="text1"/>
                <w:lang w:val="es-ES"/>
              </w:rPr>
              <w:t>.</w:t>
            </w:r>
          </w:p>
          <w:p w14:paraId="127E1942" w14:textId="462C126A" w:rsidR="00C652F3" w:rsidRPr="00C652F3" w:rsidRDefault="00970DAB" w:rsidP="00C652F3">
            <w:pPr>
              <w:rPr>
                <w:rFonts w:cs="Calibri"/>
                <w:b/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rFonts w:cs="Calibri"/>
                <w:bCs/>
                <w:color w:val="000000" w:themeColor="text1"/>
                <w:lang w:val="es-ES"/>
              </w:rPr>
              <w:t xml:space="preserve"> </w:t>
            </w:r>
          </w:p>
        </w:tc>
      </w:tr>
      <w:tr w:rsidR="00C652F3" w:rsidRPr="009660C5" w14:paraId="7AA14C93" w14:textId="77777777" w:rsidTr="00C652F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4E56544" w14:textId="77777777" w:rsidR="00C652F3" w:rsidRPr="00C652F3" w:rsidRDefault="00C652F3" w:rsidP="00C652F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AADFB" w14:textId="32FD2660" w:rsidR="00C652F3" w:rsidRPr="00C652F3" w:rsidRDefault="007A4F4D" w:rsidP="00C652F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Conectómica, </w:t>
            </w:r>
            <w:r w:rsidR="00332898" w:rsidRPr="00332898">
              <w:rPr>
                <w:sz w:val="22"/>
                <w:szCs w:val="22"/>
                <w:lang w:val="es-ES"/>
              </w:rPr>
              <w:t>Machine</w:t>
            </w:r>
            <w:r w:rsidR="00C652F3" w:rsidRPr="00C652F3">
              <w:rPr>
                <w:sz w:val="22"/>
                <w:szCs w:val="22"/>
                <w:lang w:val="es-ES"/>
              </w:rPr>
              <w:t xml:space="preserve"> </w:t>
            </w:r>
            <w:r w:rsidR="00332898">
              <w:rPr>
                <w:sz w:val="22"/>
                <w:szCs w:val="22"/>
                <w:lang w:val="es-ES"/>
              </w:rPr>
              <w:t>L</w:t>
            </w:r>
            <w:r w:rsidR="00C652F3" w:rsidRPr="00C652F3">
              <w:rPr>
                <w:sz w:val="22"/>
                <w:szCs w:val="22"/>
                <w:lang w:val="es-ES"/>
              </w:rPr>
              <w:t xml:space="preserve">earning, </w:t>
            </w:r>
            <w:r w:rsidR="00332898" w:rsidRPr="00332898">
              <w:rPr>
                <w:sz w:val="22"/>
                <w:szCs w:val="22"/>
                <w:lang w:val="es-ES"/>
              </w:rPr>
              <w:t>Imagen por resonancia magné</w:t>
            </w:r>
            <w:r w:rsidR="00332898">
              <w:rPr>
                <w:sz w:val="22"/>
                <w:szCs w:val="22"/>
                <w:lang w:val="es-ES"/>
              </w:rPr>
              <w:t xml:space="preserve">tica </w:t>
            </w:r>
            <w:r>
              <w:rPr>
                <w:sz w:val="22"/>
                <w:szCs w:val="22"/>
                <w:lang w:val="es-ES"/>
              </w:rPr>
              <w:t>de difusión</w:t>
            </w:r>
            <w:r w:rsidR="00C652F3" w:rsidRPr="00C652F3">
              <w:rPr>
                <w:sz w:val="22"/>
                <w:szCs w:val="22"/>
                <w:lang w:val="es-ES"/>
              </w:rPr>
              <w:t xml:space="preserve">, </w:t>
            </w:r>
            <w:r w:rsidR="00332898">
              <w:rPr>
                <w:sz w:val="22"/>
                <w:szCs w:val="22"/>
                <w:lang w:val="es-ES"/>
              </w:rPr>
              <w:t>COVID-19, Cefalea</w:t>
            </w:r>
          </w:p>
        </w:tc>
      </w:tr>
      <w:tr w:rsidR="00C652F3" w:rsidRPr="009660C5" w14:paraId="432B6CDD" w14:textId="77777777" w:rsidTr="00C652F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9038DCE" w14:textId="77777777" w:rsidR="00C652F3" w:rsidRPr="00C652F3" w:rsidRDefault="00C652F3" w:rsidP="00C652F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C89D" w14:textId="77777777" w:rsidR="00C652F3" w:rsidRPr="00C652F3" w:rsidRDefault="00C652F3" w:rsidP="00C652F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lang w:val="es-ES" w:eastAsia="es-ES_tradnl"/>
              </w:rPr>
            </w:pPr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 xml:space="preserve">CG1. Adquirir conocimientos y habilidades adecuados para analizar y sintetizar problemas básicos relacionados con la ingeniería y las ciencias biomédicas, resolverlos utilizando el método científico y comunicarlos de forma eficiente. </w:t>
            </w:r>
          </w:p>
          <w:p w14:paraId="67141263" w14:textId="77777777" w:rsidR="00C652F3" w:rsidRPr="00C652F3" w:rsidRDefault="00C652F3" w:rsidP="00C652F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lang w:val="es-ES" w:eastAsia="es-ES_tradnl"/>
              </w:rPr>
            </w:pPr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 xml:space="preserve">CG9. Redactar, representar e interpretar documentación científico-técnica. </w:t>
            </w:r>
          </w:p>
          <w:p w14:paraId="08125AA0" w14:textId="77777777" w:rsidR="00C652F3" w:rsidRPr="00C652F3" w:rsidRDefault="00C652F3" w:rsidP="00C652F3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lang w:val="es-ES" w:eastAsia="es-ES_tradnl"/>
              </w:rPr>
            </w:pPr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t xml:space="preserve">CE32. Desarrollar la capacidad de realizar individualmente, presentar y defender, ante un tribunal universitario, un proyecto en el ámbito de las </w:t>
            </w:r>
            <w:r w:rsidRPr="00C652F3">
              <w:rPr>
                <w:rFonts w:ascii="ArialMT" w:eastAsia="Times New Roman" w:hAnsi="ArialMT"/>
                <w:sz w:val="18"/>
                <w:szCs w:val="18"/>
                <w:lang w:val="es-ES" w:eastAsia="es-ES_tradnl"/>
              </w:rPr>
              <w:lastRenderedPageBreak/>
              <w:t xml:space="preserve">tecnologías específicas de la Ingeniería Biomédica de naturaleza profesional en el que se sinteticen e integren las competencias adquiridas. </w:t>
            </w:r>
          </w:p>
        </w:tc>
      </w:tr>
      <w:tr w:rsidR="00C652F3" w:rsidRPr="009660C5" w14:paraId="66A5A4CB" w14:textId="77777777" w:rsidTr="00C652F3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31B9" w14:textId="77777777" w:rsidR="00C652F3" w:rsidRPr="00C652F3" w:rsidRDefault="00C652F3" w:rsidP="00C652F3">
            <w:pPr>
              <w:rPr>
                <w:sz w:val="12"/>
                <w:szCs w:val="12"/>
                <w:lang w:val="es-ES"/>
              </w:rPr>
            </w:pPr>
          </w:p>
          <w:p w14:paraId="2D0C8570" w14:textId="77777777" w:rsidR="00C652F3" w:rsidRPr="00C652F3" w:rsidRDefault="00C652F3" w:rsidP="00C652F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r w:rsidRPr="00C652F3">
              <w:rPr>
                <w:rFonts w:ascii="Wingdings" w:hAnsi="Wingdings" w:cs="Wingdings"/>
                <w:b/>
                <w:bCs/>
                <w:color w:val="000000" w:themeColor="text1"/>
              </w:rPr>
              <w:t>o</w:t>
            </w:r>
            <w:r w:rsidRPr="00C652F3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Pr="00C652F3">
              <w:rPr>
                <w:b/>
                <w:bCs/>
                <w:sz w:val="22"/>
                <w:szCs w:val="22"/>
                <w:lang w:val="es-ES"/>
              </w:rPr>
              <w:t>Asociado a Prácticas Externas</w:t>
            </w:r>
          </w:p>
          <w:p w14:paraId="5467DDA6" w14:textId="573AA167" w:rsidR="00C652F3" w:rsidRPr="00C652F3" w:rsidRDefault="00C652F3" w:rsidP="00C652F3">
            <w:pPr>
              <w:rPr>
                <w:sz w:val="22"/>
                <w:szCs w:val="22"/>
                <w:lang w:val="es-ES"/>
              </w:rPr>
            </w:pPr>
            <w:r w:rsidRPr="00C652F3">
              <w:rPr>
                <w:sz w:val="22"/>
                <w:szCs w:val="22"/>
                <w:lang w:val="es-ES"/>
              </w:rPr>
              <w:t xml:space="preserve">                       Nombre del estudiante preasignado (si procede): </w:t>
            </w:r>
          </w:p>
          <w:p w14:paraId="2FAEF97B" w14:textId="77777777" w:rsidR="00C652F3" w:rsidRPr="00C652F3" w:rsidRDefault="00C652F3" w:rsidP="00C652F3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BAFFA07" w14:textId="77777777" w:rsidR="00C652F3" w:rsidRPr="00C652F3" w:rsidRDefault="00C652F3" w:rsidP="00C652F3">
      <w:pPr>
        <w:jc w:val="both"/>
        <w:rPr>
          <w:rFonts w:ascii="Calibri" w:eastAsia="Calibri" w:hAnsi="Calibri" w:cs="Times New Roman"/>
          <w:lang w:val="es-ES"/>
        </w:rPr>
      </w:pPr>
    </w:p>
    <w:p w14:paraId="2917C92B" w14:textId="77777777" w:rsidR="00C652F3" w:rsidRPr="00C652F3" w:rsidRDefault="00C652F3" w:rsidP="00C652F3">
      <w:pPr>
        <w:jc w:val="both"/>
        <w:rPr>
          <w:rFonts w:ascii="Calibri" w:eastAsia="Calibri" w:hAnsi="Calibri" w:cs="Times New Roman"/>
          <w:lang w:val="es-ES"/>
        </w:rPr>
      </w:pPr>
    </w:p>
    <w:p w14:paraId="108D3C62" w14:textId="77777777" w:rsidR="00C652F3" w:rsidRPr="00C652F3" w:rsidRDefault="00C652F3" w:rsidP="00C652F3">
      <w:pPr>
        <w:jc w:val="both"/>
        <w:rPr>
          <w:rFonts w:ascii="Calibri" w:eastAsia="Calibri" w:hAnsi="Calibri" w:cs="Times New Roman"/>
          <w:lang w:val="es-ES"/>
        </w:rPr>
      </w:pPr>
    </w:p>
    <w:tbl>
      <w:tblPr>
        <w:tblStyle w:val="Tablaconcuadrcula1"/>
        <w:tblW w:w="9634" w:type="dxa"/>
        <w:tblInd w:w="0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C652F3" w:rsidRPr="009660C5" w14:paraId="0D82FCD4" w14:textId="77777777" w:rsidTr="00C652F3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5A1A"/>
            <w:vAlign w:val="center"/>
            <w:hideMark/>
          </w:tcPr>
          <w:p w14:paraId="15523334" w14:textId="77777777" w:rsidR="00C652F3" w:rsidRPr="00C652F3" w:rsidRDefault="00C652F3" w:rsidP="00C652F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>Propuesta de Tribunal del Trabajo de Fin de Grado</w:t>
            </w:r>
          </w:p>
        </w:tc>
      </w:tr>
      <w:tr w:rsidR="00CF3944" w:rsidRPr="00C652F3" w14:paraId="16977A3F" w14:textId="77777777" w:rsidTr="00C652F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52A078F" w14:textId="15A0810E" w:rsidR="00CF3944" w:rsidRPr="00C652F3" w:rsidRDefault="00CF3944" w:rsidP="00CF3944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Presidente: 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C0F65" w14:textId="016935EC" w:rsidR="00CF3944" w:rsidRPr="00C652F3" w:rsidRDefault="00CF3944" w:rsidP="00CF394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Santiago Aja Fernández</w:t>
            </w:r>
          </w:p>
        </w:tc>
      </w:tr>
      <w:tr w:rsidR="00CF3944" w:rsidRPr="00C652F3" w14:paraId="28AE627F" w14:textId="77777777" w:rsidTr="00C652F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399396" w14:textId="35A59873" w:rsidR="00CF3944" w:rsidRPr="00C652F3" w:rsidRDefault="00CF3944" w:rsidP="00CF3944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Secretario: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D7641" w14:textId="0665909B" w:rsidR="00CF3944" w:rsidRPr="00C652F3" w:rsidRDefault="00CF3944" w:rsidP="00CF394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Antonio Tristán Vega </w:t>
            </w:r>
          </w:p>
        </w:tc>
      </w:tr>
      <w:tr w:rsidR="00CF3944" w:rsidRPr="00C652F3" w14:paraId="438F061F" w14:textId="77777777" w:rsidTr="00C652F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057588" w14:textId="7941AE62" w:rsidR="00CF3944" w:rsidRPr="00C652F3" w:rsidRDefault="00CF3944" w:rsidP="00CF3944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Vocal: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8E390" w14:textId="38B8035B" w:rsidR="00CF3944" w:rsidRPr="00C652F3" w:rsidRDefault="00CF3944" w:rsidP="00CF394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Rodrigo de Luis García</w:t>
            </w:r>
          </w:p>
        </w:tc>
      </w:tr>
      <w:tr w:rsidR="00CF3944" w:rsidRPr="00C652F3" w14:paraId="0B023EE6" w14:textId="77777777" w:rsidTr="00C652F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0EAA1EF" w14:textId="23B8C0B2" w:rsidR="00CF3944" w:rsidRPr="00C652F3" w:rsidRDefault="00CF3944" w:rsidP="00CF3944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1: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D0695" w14:textId="5E4FDC01" w:rsidR="00CF3944" w:rsidRPr="00C652F3" w:rsidRDefault="00CF3944" w:rsidP="00CF394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Alberola López</w:t>
            </w:r>
          </w:p>
        </w:tc>
      </w:tr>
      <w:tr w:rsidR="00CF3944" w:rsidRPr="00C652F3" w14:paraId="3F7EA0DE" w14:textId="77777777" w:rsidTr="00C652F3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33BCF1" w14:textId="27E7AC37" w:rsidR="00CF3944" w:rsidRPr="00C652F3" w:rsidRDefault="00CF3944" w:rsidP="00CF3944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2: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138D8" w14:textId="7DC68186" w:rsidR="00CF3944" w:rsidRPr="00C652F3" w:rsidRDefault="00CF3944" w:rsidP="00CF394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Miguel Ángel Martín Fernández </w:t>
            </w:r>
          </w:p>
        </w:tc>
      </w:tr>
    </w:tbl>
    <w:p w14:paraId="77EE3BC9" w14:textId="77777777" w:rsidR="00C652F3" w:rsidRPr="00C652F3" w:rsidRDefault="00C652F3" w:rsidP="00C652F3">
      <w:pPr>
        <w:jc w:val="both"/>
        <w:rPr>
          <w:rFonts w:ascii="Calibri" w:eastAsia="Calibri" w:hAnsi="Calibri" w:cs="Times New Roman"/>
          <w:sz w:val="20"/>
          <w:szCs w:val="20"/>
          <w:lang w:val="es-ES"/>
        </w:rPr>
      </w:pPr>
      <w:r w:rsidRPr="00C652F3">
        <w:rPr>
          <w:rFonts w:ascii="Calibri" w:eastAsia="Calibri" w:hAnsi="Calibri" w:cs="Times New Roman"/>
          <w:sz w:val="20"/>
          <w:szCs w:val="20"/>
          <w:lang w:val="es-ES"/>
        </w:rPr>
        <w:t>El tutor sí puede formar parte del tribunal del TFG</w:t>
      </w:r>
    </w:p>
    <w:p w14:paraId="4A9BC853" w14:textId="7E43D6FA" w:rsidR="00C4564E" w:rsidRPr="00C652F3" w:rsidRDefault="00C4564E" w:rsidP="00C652F3">
      <w:pPr>
        <w:rPr>
          <w:lang w:val="es-ES"/>
        </w:rPr>
      </w:pPr>
    </w:p>
    <w:sectPr w:rsidR="00C4564E" w:rsidRPr="00C652F3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7B0E9" w14:textId="77777777" w:rsidR="005D2342" w:rsidRDefault="005D2342" w:rsidP="001A5F33">
      <w:r>
        <w:separator/>
      </w:r>
    </w:p>
  </w:endnote>
  <w:endnote w:type="continuationSeparator" w:id="0">
    <w:p w14:paraId="17F72801" w14:textId="77777777" w:rsidR="005D2342" w:rsidRDefault="005D2342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189A8" w14:textId="77777777" w:rsidR="005D2342" w:rsidRDefault="005D2342" w:rsidP="001A5F33">
      <w:r>
        <w:separator/>
      </w:r>
    </w:p>
  </w:footnote>
  <w:footnote w:type="continuationSeparator" w:id="0">
    <w:p w14:paraId="7BC5A49B" w14:textId="77777777" w:rsidR="005D2342" w:rsidRDefault="005D2342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53103"/>
    <w:multiLevelType w:val="hybridMultilevel"/>
    <w:tmpl w:val="3ADA441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1417748767">
    <w:abstractNumId w:val="2"/>
  </w:num>
  <w:num w:numId="2" w16cid:durableId="1845512817">
    <w:abstractNumId w:val="0"/>
  </w:num>
  <w:num w:numId="3" w16cid:durableId="1841657380">
    <w:abstractNumId w:val="3"/>
  </w:num>
  <w:num w:numId="4" w16cid:durableId="38911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94E5F"/>
    <w:rsid w:val="000A384F"/>
    <w:rsid w:val="000A41E6"/>
    <w:rsid w:val="000A443E"/>
    <w:rsid w:val="000D5488"/>
    <w:rsid w:val="000D5E8A"/>
    <w:rsid w:val="000E73C5"/>
    <w:rsid w:val="00126D8C"/>
    <w:rsid w:val="001322D4"/>
    <w:rsid w:val="00144349"/>
    <w:rsid w:val="0017543C"/>
    <w:rsid w:val="0019011F"/>
    <w:rsid w:val="00191454"/>
    <w:rsid w:val="001A5F33"/>
    <w:rsid w:val="001E52AB"/>
    <w:rsid w:val="002075AB"/>
    <w:rsid w:val="002555E5"/>
    <w:rsid w:val="00263B29"/>
    <w:rsid w:val="0027449F"/>
    <w:rsid w:val="0028377B"/>
    <w:rsid w:val="0029187A"/>
    <w:rsid w:val="00306D6E"/>
    <w:rsid w:val="003167BA"/>
    <w:rsid w:val="003225BE"/>
    <w:rsid w:val="00332898"/>
    <w:rsid w:val="00335D1D"/>
    <w:rsid w:val="00394C26"/>
    <w:rsid w:val="003A2734"/>
    <w:rsid w:val="003B3ADF"/>
    <w:rsid w:val="003D4811"/>
    <w:rsid w:val="00400C29"/>
    <w:rsid w:val="0045672E"/>
    <w:rsid w:val="004F5A97"/>
    <w:rsid w:val="00512C3F"/>
    <w:rsid w:val="00532743"/>
    <w:rsid w:val="005428E9"/>
    <w:rsid w:val="005549A2"/>
    <w:rsid w:val="005B420F"/>
    <w:rsid w:val="005D2342"/>
    <w:rsid w:val="00622B54"/>
    <w:rsid w:val="0063749D"/>
    <w:rsid w:val="00671857"/>
    <w:rsid w:val="00672F3F"/>
    <w:rsid w:val="0073575C"/>
    <w:rsid w:val="00746A7B"/>
    <w:rsid w:val="00790395"/>
    <w:rsid w:val="007A3E81"/>
    <w:rsid w:val="007A4F4D"/>
    <w:rsid w:val="007B012B"/>
    <w:rsid w:val="007B03D3"/>
    <w:rsid w:val="007D7D0E"/>
    <w:rsid w:val="007F3C7A"/>
    <w:rsid w:val="007F5224"/>
    <w:rsid w:val="0080541A"/>
    <w:rsid w:val="00826066"/>
    <w:rsid w:val="00863BDA"/>
    <w:rsid w:val="008D2EBF"/>
    <w:rsid w:val="008F4FEB"/>
    <w:rsid w:val="00907F6B"/>
    <w:rsid w:val="009110C8"/>
    <w:rsid w:val="00924C41"/>
    <w:rsid w:val="009571E0"/>
    <w:rsid w:val="009660C5"/>
    <w:rsid w:val="00970DAB"/>
    <w:rsid w:val="00987153"/>
    <w:rsid w:val="009947BE"/>
    <w:rsid w:val="00A20D63"/>
    <w:rsid w:val="00A36A32"/>
    <w:rsid w:val="00B15794"/>
    <w:rsid w:val="00B47BED"/>
    <w:rsid w:val="00BA0607"/>
    <w:rsid w:val="00BA52E2"/>
    <w:rsid w:val="00BB3D54"/>
    <w:rsid w:val="00BC326D"/>
    <w:rsid w:val="00C4564E"/>
    <w:rsid w:val="00C5264D"/>
    <w:rsid w:val="00C652F3"/>
    <w:rsid w:val="00C66BF8"/>
    <w:rsid w:val="00C92E7A"/>
    <w:rsid w:val="00CA17D5"/>
    <w:rsid w:val="00CE55A3"/>
    <w:rsid w:val="00CF3944"/>
    <w:rsid w:val="00D02B2F"/>
    <w:rsid w:val="00D13E36"/>
    <w:rsid w:val="00D16731"/>
    <w:rsid w:val="00D52CE1"/>
    <w:rsid w:val="00D707D2"/>
    <w:rsid w:val="00DA2764"/>
    <w:rsid w:val="00DF349E"/>
    <w:rsid w:val="00DF69E5"/>
    <w:rsid w:val="00EF33AB"/>
    <w:rsid w:val="00F046BE"/>
    <w:rsid w:val="00F20B38"/>
    <w:rsid w:val="00F21D0D"/>
    <w:rsid w:val="00F60F0F"/>
    <w:rsid w:val="00F92877"/>
    <w:rsid w:val="00F93A32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C652F3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408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Alvaro Planchuelo Gomez</cp:lastModifiedBy>
  <cp:revision>11</cp:revision>
  <cp:lastPrinted>2022-06-16T18:10:00Z</cp:lastPrinted>
  <dcterms:created xsi:type="dcterms:W3CDTF">2024-10-14T09:40:00Z</dcterms:created>
  <dcterms:modified xsi:type="dcterms:W3CDTF">2024-10-14T10:14:00Z</dcterms:modified>
</cp:coreProperties>
</file>