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40EB1" w14:textId="66F7D533" w:rsidR="001A5F33" w:rsidRPr="00322286" w:rsidRDefault="00C5264D" w:rsidP="00322286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07"/>
        <w:gridCol w:w="222"/>
      </w:tblGrid>
      <w:tr w:rsidR="00191454" w:rsidRPr="00D0465F" w14:paraId="1713DEC4" w14:textId="77777777" w:rsidTr="006045D5">
        <w:tc>
          <w:tcPr>
            <w:tcW w:w="0" w:type="auto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D0465F" w14:paraId="3E74CEF6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283A4D1" w14:textId="3FD25292" w:rsidR="00532743" w:rsidRPr="0092281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922813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8D0637" w:rsidRPr="00922813">
              <w:rPr>
                <w:sz w:val="22"/>
                <w:szCs w:val="22"/>
                <w:lang w:val="es-ES"/>
              </w:rPr>
              <w:t xml:space="preserve"> </w:t>
            </w:r>
            <w:r w:rsidR="001125FB">
              <w:rPr>
                <w:sz w:val="22"/>
                <w:szCs w:val="22"/>
                <w:lang w:val="es-ES"/>
              </w:rPr>
              <w:t xml:space="preserve">Deep </w:t>
            </w:r>
            <w:proofErr w:type="spellStart"/>
            <w:r w:rsidR="001125FB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1125FB">
              <w:rPr>
                <w:sz w:val="22"/>
                <w:szCs w:val="22"/>
                <w:lang w:val="es-ES"/>
              </w:rPr>
              <w:t xml:space="preserve"> explicable </w:t>
            </w:r>
            <w:r w:rsidR="00147188">
              <w:rPr>
                <w:sz w:val="22"/>
                <w:szCs w:val="22"/>
                <w:lang w:val="es-ES"/>
              </w:rPr>
              <w:t xml:space="preserve">para el </w:t>
            </w:r>
            <w:r w:rsidR="00D4699F">
              <w:rPr>
                <w:sz w:val="22"/>
                <w:szCs w:val="22"/>
                <w:lang w:val="es-ES"/>
              </w:rPr>
              <w:t>diagnóstico</w:t>
            </w:r>
            <w:r w:rsidR="00147188">
              <w:rPr>
                <w:sz w:val="22"/>
                <w:szCs w:val="22"/>
                <w:lang w:val="es-ES"/>
              </w:rPr>
              <w:t xml:space="preserve"> de la apnea del sueño en </w:t>
            </w:r>
            <w:r w:rsidR="00D4699F">
              <w:rPr>
                <w:sz w:val="22"/>
                <w:szCs w:val="22"/>
                <w:lang w:val="es-ES"/>
              </w:rPr>
              <w:t>niños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D9D836" w14:textId="77777777" w:rsid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:rsidRPr="00D0465F" w14:paraId="33AEB1BD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2234899D" w14:textId="75BB82A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D863B1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4699F" w:rsidRPr="00D4699F">
              <w:rPr>
                <w:sz w:val="22"/>
                <w:szCs w:val="22"/>
                <w:lang w:val="es-ES"/>
              </w:rPr>
              <w:t>María Herrero Tudela</w:t>
            </w:r>
            <w:r w:rsidR="00D4699F">
              <w:rPr>
                <w:sz w:val="22"/>
                <w:szCs w:val="22"/>
                <w:lang w:val="es-ES"/>
              </w:rPr>
              <w:t xml:space="preserve"> y G</w:t>
            </w:r>
            <w:r w:rsidR="00D863B1" w:rsidRPr="003704FA">
              <w:rPr>
                <w:sz w:val="22"/>
                <w:szCs w:val="22"/>
                <w:lang w:val="es-ES"/>
              </w:rPr>
              <w:t>onzalo César Gutiérrez</w:t>
            </w:r>
            <w:r w:rsidR="00013BAE" w:rsidRPr="003704FA">
              <w:rPr>
                <w:sz w:val="22"/>
                <w:szCs w:val="22"/>
                <w:lang w:val="es-ES"/>
              </w:rPr>
              <w:t xml:space="preserve"> Tobal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D0465F" w14:paraId="7B8F0F8F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4FE55BE7" w14:textId="1BFF94C9" w:rsidR="00532743" w:rsidRPr="003704FA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013BA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704FA" w:rsidRPr="003704FA">
              <w:rPr>
                <w:sz w:val="22"/>
                <w:szCs w:val="22"/>
                <w:lang w:val="es-ES"/>
              </w:rPr>
              <w:t>Departamento de Teoría de la Señal y Comunicaciones e Ingeniería Telemática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D0465F" w14:paraId="39411455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A54DB02" w14:textId="4377E4D8" w:rsidR="00532743" w:rsidRPr="00EA1C8C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6045D5">
              <w:rPr>
                <w:sz w:val="22"/>
                <w:szCs w:val="22"/>
                <w:lang w:val="es-ES"/>
              </w:rPr>
              <w:t>Resumen (máx. 150 palabras):</w:t>
            </w:r>
            <w:r w:rsidR="006045D5" w:rsidRPr="006045D5">
              <w:rPr>
                <w:sz w:val="22"/>
                <w:szCs w:val="22"/>
                <w:lang w:val="es-ES"/>
              </w:rPr>
              <w:t xml:space="preserve"> </w:t>
            </w:r>
            <w:r w:rsidR="00823C40" w:rsidRPr="00823C40">
              <w:rPr>
                <w:sz w:val="22"/>
                <w:szCs w:val="22"/>
                <w:lang w:val="es-ES"/>
              </w:rPr>
              <w:t xml:space="preserve">La apnea obstructiva del sueño (AOS) infantil afecta hasta el 5% de los niños y puede tener consecuencias graves si no se diagnostica y trata a tiempo, como problemas neurocognitivos y deterioro cardiovascular y metabólico, afectando la calidad de vida. El diagnóstico estándar, la polisomnografía (PSG), requiere una noche en una unidad del sueño y el monitoreo de hasta 32 señales biomédicas, lo que la convierte en una prueba compleja y costosa. Por ello, se han desarrollado métodos automáticos usando técnicas de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que simplifican el proceso.</w:t>
            </w:r>
            <w:r w:rsidR="006B4933">
              <w:rPr>
                <w:sz w:val="22"/>
                <w:szCs w:val="22"/>
                <w:lang w:val="es-ES"/>
              </w:rPr>
              <w:t xml:space="preserve"> No obstante, </w:t>
            </w:r>
            <w:r w:rsidR="00F33EC3">
              <w:rPr>
                <w:sz w:val="22"/>
                <w:szCs w:val="22"/>
                <w:lang w:val="es-ES"/>
              </w:rPr>
              <w:t>estos</w:t>
            </w:r>
            <w:r w:rsidR="00D810A8">
              <w:rPr>
                <w:sz w:val="22"/>
                <w:szCs w:val="22"/>
                <w:lang w:val="es-ES"/>
              </w:rPr>
              <w:t xml:space="preserve"> métodos </w:t>
            </w:r>
            <w:r w:rsidR="006B4933">
              <w:rPr>
                <w:sz w:val="22"/>
                <w:szCs w:val="22"/>
                <w:lang w:val="es-ES"/>
              </w:rPr>
              <w:t xml:space="preserve">son vistos como “cajas negras” </w:t>
            </w:r>
            <w:r w:rsidR="000B4FA8">
              <w:rPr>
                <w:sz w:val="22"/>
                <w:szCs w:val="22"/>
                <w:lang w:val="es-ES"/>
              </w:rPr>
              <w:t>que no ofrecen explicaciones de sus decisiones</w:t>
            </w:r>
            <w:r w:rsidR="00EF5452">
              <w:rPr>
                <w:sz w:val="22"/>
                <w:szCs w:val="22"/>
                <w:lang w:val="es-ES"/>
              </w:rPr>
              <w:t xml:space="preserve"> automáticas</w:t>
            </w:r>
            <w:r w:rsidR="000B4FA8">
              <w:rPr>
                <w:sz w:val="22"/>
                <w:szCs w:val="22"/>
                <w:lang w:val="es-ES"/>
              </w:rPr>
              <w:t>.</w:t>
            </w:r>
            <w:r w:rsidR="00823C40" w:rsidRPr="00823C40">
              <w:rPr>
                <w:sz w:val="22"/>
                <w:szCs w:val="22"/>
                <w:lang w:val="es-ES"/>
              </w:rPr>
              <w:t xml:space="preserve"> El objetivo de este proyecto es</w:t>
            </w:r>
            <w:r w:rsidR="00EF5452">
              <w:rPr>
                <w:sz w:val="22"/>
                <w:szCs w:val="22"/>
                <w:lang w:val="es-ES"/>
              </w:rPr>
              <w:t xml:space="preserve"> diseñar, </w:t>
            </w:r>
            <w:r w:rsidR="00823C40" w:rsidRPr="00823C40">
              <w:rPr>
                <w:sz w:val="22"/>
                <w:szCs w:val="22"/>
                <w:lang w:val="es-ES"/>
              </w:rPr>
              <w:t>implementar y evaluar métodos</w:t>
            </w:r>
            <w:r w:rsidR="000B4FA8">
              <w:rPr>
                <w:sz w:val="22"/>
                <w:szCs w:val="22"/>
                <w:lang w:val="es-ES"/>
              </w:rPr>
              <w:t xml:space="preserve"> explicables</w:t>
            </w:r>
            <w:r w:rsidR="00823C40" w:rsidRPr="00823C40">
              <w:rPr>
                <w:sz w:val="22"/>
                <w:szCs w:val="22"/>
                <w:lang w:val="es-ES"/>
              </w:rPr>
              <w:t xml:space="preserve"> basados en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que empleen señales cardiorrespiratorias para </w:t>
            </w:r>
            <w:r w:rsidR="000B4FA8">
              <w:rPr>
                <w:sz w:val="22"/>
                <w:szCs w:val="22"/>
                <w:lang w:val="es-ES"/>
              </w:rPr>
              <w:t>detectar la AOS</w:t>
            </w:r>
            <w:r w:rsidR="00823C40" w:rsidRPr="00823C40">
              <w:rPr>
                <w:sz w:val="22"/>
                <w:szCs w:val="22"/>
                <w:lang w:val="es-ES"/>
              </w:rPr>
              <w:t xml:space="preserve"> en niños.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D0465F" w14:paraId="568B6061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1B8B8612" w14:textId="6FBFE1A8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F127E0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448AC" w:rsidRPr="007448AC">
              <w:rPr>
                <w:sz w:val="22"/>
                <w:szCs w:val="22"/>
                <w:lang w:val="es-ES"/>
              </w:rPr>
              <w:t>Apnea obstructiva del sueño (AOS) infantil</w:t>
            </w:r>
            <w:r w:rsidR="00503DEC">
              <w:rPr>
                <w:sz w:val="22"/>
                <w:szCs w:val="22"/>
                <w:lang w:val="es-ES"/>
              </w:rPr>
              <w:t>, señales cardiorrespiratorias</w:t>
            </w:r>
            <w:r w:rsidR="00BD3C07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953E04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953E04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953E04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953E04">
              <w:rPr>
                <w:sz w:val="22"/>
                <w:szCs w:val="22"/>
                <w:lang w:val="es-ES"/>
              </w:rPr>
              <w:t xml:space="preserve">, </w:t>
            </w:r>
            <w:r w:rsidR="00C44B7E">
              <w:rPr>
                <w:sz w:val="22"/>
                <w:szCs w:val="22"/>
                <w:lang w:val="es-ES"/>
              </w:rPr>
              <w:t>inteligencia artificial explicable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D0465F" w14:paraId="3AC08E72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F10A01D" w14:textId="77777777" w:rsidR="00532743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  <w:p w14:paraId="7DC28ADE" w14:textId="43510731" w:rsidR="00650C5B" w:rsidRPr="00A865CA" w:rsidRDefault="00650C5B" w:rsidP="00650C5B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A865CA">
              <w:rPr>
                <w:sz w:val="22"/>
                <w:szCs w:val="22"/>
                <w:lang w:val="es-ES"/>
              </w:rPr>
              <w:t xml:space="preserve">Adquirir conocimientos sobre anatomía y fisiología humanas </w:t>
            </w:r>
            <w:r w:rsidR="004D6211" w:rsidRPr="00A865CA">
              <w:rPr>
                <w:sz w:val="22"/>
                <w:szCs w:val="22"/>
                <w:lang w:val="es-ES"/>
              </w:rPr>
              <w:t>relacionadas con</w:t>
            </w:r>
            <w:r w:rsidR="007B2709">
              <w:rPr>
                <w:sz w:val="22"/>
                <w:szCs w:val="22"/>
                <w:lang w:val="es-ES"/>
              </w:rPr>
              <w:t xml:space="preserve"> el aparato respiratorio</w:t>
            </w:r>
            <w:r w:rsidR="006049E3">
              <w:rPr>
                <w:sz w:val="22"/>
                <w:szCs w:val="22"/>
                <w:lang w:val="es-ES"/>
              </w:rPr>
              <w:t>, las fases del sueño</w:t>
            </w:r>
            <w:r w:rsidR="007B2709">
              <w:rPr>
                <w:sz w:val="22"/>
                <w:szCs w:val="22"/>
                <w:lang w:val="es-ES"/>
              </w:rPr>
              <w:t xml:space="preserve"> y </w:t>
            </w:r>
            <w:r w:rsidR="004D6211" w:rsidRPr="00A865CA">
              <w:rPr>
                <w:sz w:val="22"/>
                <w:szCs w:val="22"/>
                <w:lang w:val="es-ES"/>
              </w:rPr>
              <w:t xml:space="preserve">la AOS </w:t>
            </w:r>
            <w:r w:rsidR="00EA4C45" w:rsidRPr="00A865CA">
              <w:rPr>
                <w:sz w:val="22"/>
                <w:szCs w:val="22"/>
                <w:lang w:val="es-ES"/>
              </w:rPr>
              <w:t xml:space="preserve">pediátrica </w:t>
            </w:r>
            <w:r w:rsidRPr="00A865CA">
              <w:rPr>
                <w:sz w:val="22"/>
                <w:szCs w:val="22"/>
                <w:lang w:val="es-ES"/>
              </w:rPr>
              <w:t xml:space="preserve">e identificar </w:t>
            </w:r>
            <w:r w:rsidR="00EA4C45" w:rsidRPr="00A865CA">
              <w:rPr>
                <w:sz w:val="22"/>
                <w:szCs w:val="22"/>
                <w:lang w:val="es-ES"/>
              </w:rPr>
              <w:t xml:space="preserve">cómo puede </w:t>
            </w:r>
            <w:r w:rsidRPr="00A865CA">
              <w:rPr>
                <w:sz w:val="22"/>
                <w:szCs w:val="22"/>
                <w:lang w:val="es-ES"/>
              </w:rPr>
              <w:t>se</w:t>
            </w:r>
            <w:r w:rsidR="00EA4C45" w:rsidRPr="00A865CA">
              <w:rPr>
                <w:sz w:val="22"/>
                <w:szCs w:val="22"/>
                <w:lang w:val="es-ES"/>
              </w:rPr>
              <w:t>r</w:t>
            </w:r>
            <w:r w:rsidRPr="00A865CA">
              <w:rPr>
                <w:sz w:val="22"/>
                <w:szCs w:val="22"/>
                <w:lang w:val="es-ES"/>
              </w:rPr>
              <w:t xml:space="preserve"> </w:t>
            </w:r>
            <w:r w:rsidR="000905F7" w:rsidRPr="00A865CA">
              <w:rPr>
                <w:sz w:val="22"/>
                <w:szCs w:val="22"/>
                <w:lang w:val="es-ES"/>
              </w:rPr>
              <w:t>diagnosticada y tratada la enfermedad</w:t>
            </w:r>
            <w:r w:rsidRPr="00A865CA">
              <w:rPr>
                <w:sz w:val="22"/>
                <w:szCs w:val="22"/>
                <w:lang w:val="es-ES"/>
              </w:rPr>
              <w:t xml:space="preserve"> mediante técnicas englobadas en la Ingeniería Biomédica.</w:t>
            </w:r>
          </w:p>
          <w:p w14:paraId="5818564D" w14:textId="65143898" w:rsidR="00D00B92" w:rsidRDefault="00D00B92" w:rsidP="00650C5B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D00B92">
              <w:rPr>
                <w:sz w:val="22"/>
                <w:szCs w:val="22"/>
                <w:lang w:val="es-ES"/>
              </w:rPr>
              <w:t xml:space="preserve">Conocer cuáles son </w:t>
            </w:r>
            <w:r w:rsidR="00832DD9">
              <w:rPr>
                <w:sz w:val="22"/>
                <w:szCs w:val="22"/>
                <w:lang w:val="es-ES"/>
              </w:rPr>
              <w:t>l</w:t>
            </w:r>
            <w:r w:rsidR="00D365CE">
              <w:rPr>
                <w:sz w:val="22"/>
                <w:szCs w:val="22"/>
                <w:lang w:val="es-ES"/>
              </w:rPr>
              <w:t>o</w:t>
            </w:r>
            <w:r w:rsidR="00832DD9">
              <w:rPr>
                <w:sz w:val="22"/>
                <w:szCs w:val="22"/>
                <w:lang w:val="es-ES"/>
              </w:rPr>
              <w:t xml:space="preserve">s principales </w:t>
            </w:r>
            <w:r w:rsidRPr="00D00B92">
              <w:rPr>
                <w:sz w:val="22"/>
                <w:szCs w:val="22"/>
                <w:lang w:val="es-ES"/>
              </w:rPr>
              <w:t>eventos respiratorios durante el sueño y saber implementar algoritmos de procesado de señales biomédicas para identificarlos</w:t>
            </w:r>
            <w:r>
              <w:rPr>
                <w:sz w:val="22"/>
                <w:szCs w:val="22"/>
                <w:lang w:val="es-ES"/>
              </w:rPr>
              <w:t>.</w:t>
            </w:r>
          </w:p>
          <w:p w14:paraId="6D053556" w14:textId="53CC190D" w:rsidR="005C609B" w:rsidRPr="005C609B" w:rsidRDefault="005C609B" w:rsidP="005C609B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A865CA">
              <w:rPr>
                <w:sz w:val="22"/>
                <w:szCs w:val="22"/>
                <w:lang w:val="es-ES"/>
              </w:rPr>
              <w:t>Comprender las técnicas existentes de tratamiento de señales biomédicas para obtener información.</w:t>
            </w:r>
          </w:p>
          <w:p w14:paraId="21FE42D4" w14:textId="1DB0836F" w:rsidR="00BE2432" w:rsidRPr="00D00B92" w:rsidRDefault="00B86E90" w:rsidP="00D00B92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B86E90">
              <w:rPr>
                <w:sz w:val="22"/>
                <w:szCs w:val="22"/>
                <w:lang w:val="es-ES"/>
              </w:rPr>
              <w:t xml:space="preserve">Saber construir e interpretar modelos de ayuda al diagnóstico </w:t>
            </w:r>
            <w:r>
              <w:rPr>
                <w:sz w:val="22"/>
                <w:szCs w:val="22"/>
                <w:lang w:val="es-ES"/>
              </w:rPr>
              <w:t>basados en técn</w:t>
            </w:r>
            <w:r w:rsidR="00A54EB7">
              <w:rPr>
                <w:sz w:val="22"/>
                <w:szCs w:val="22"/>
                <w:lang w:val="es-ES"/>
              </w:rPr>
              <w:t xml:space="preserve">icas de </w:t>
            </w:r>
            <w:proofErr w:type="spellStart"/>
            <w:r w:rsidR="00A54EB7" w:rsidRPr="00A54EB7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="00A54EB7" w:rsidRPr="00A54EB7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54EB7" w:rsidRPr="00A54EB7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A54EB7">
              <w:rPr>
                <w:sz w:val="22"/>
                <w:szCs w:val="22"/>
                <w:lang w:val="es-ES"/>
              </w:rPr>
              <w:t xml:space="preserve"> </w:t>
            </w:r>
            <w:r w:rsidRPr="00B86E90">
              <w:rPr>
                <w:sz w:val="22"/>
                <w:szCs w:val="22"/>
                <w:lang w:val="es-ES"/>
              </w:rPr>
              <w:t>de patologías respiratorias.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D0465F" w14:paraId="78AA7326" w14:textId="77777777" w:rsidTr="006045D5">
        <w:tc>
          <w:tcPr>
            <w:tcW w:w="0" w:type="auto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1A273820" w:rsidR="00532743" w:rsidRPr="0071190B" w:rsidRDefault="0071190B" w:rsidP="0071190B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noProof/>
                <w:color w:val="000000" w:themeColor="text1"/>
                <w:lang w:val="es-ES"/>
              </w:rPr>
              <w:drawing>
                <wp:anchor distT="0" distB="0" distL="114300" distR="114300" simplePos="0" relativeHeight="251658240" behindDoc="0" locked="0" layoutInCell="1" allowOverlap="1" wp14:anchorId="6A66D43B" wp14:editId="4A0BC8A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247650" cy="247650"/>
                  <wp:effectExtent l="0" t="0" r="0" b="0"/>
                  <wp:wrapSquare wrapText="bothSides"/>
                  <wp:docPr id="1828928076" name="Gráfico 1" descr="Casilla marcada con relleno sóli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928076" name="Gráfico 1828928076" descr="Casilla marcada con relleno sólido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704FA" w:rsidRPr="0071190B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Asociado</w:t>
            </w:r>
            <w:r w:rsidR="00532743" w:rsidRPr="0071190B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5429E042" w:rsidR="004F5A97" w:rsidRPr="00532743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30"/>
        <w:gridCol w:w="499"/>
      </w:tblGrid>
      <w:tr w:rsidR="00191454" w:rsidRPr="00D0465F" w14:paraId="4F3678F3" w14:textId="77777777" w:rsidTr="007A61BF">
        <w:tc>
          <w:tcPr>
            <w:tcW w:w="5000" w:type="pct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D0465F" w14:paraId="65F915EF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77CAE734" w14:textId="6927183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32121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21216" w:rsidRPr="007A61BF">
              <w:rPr>
                <w:sz w:val="22"/>
                <w:szCs w:val="22"/>
                <w:lang w:val="es-ES"/>
              </w:rPr>
              <w:t>Gonzalo César Gutiérrez Tobal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3E14A96E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1FCB6B96" w14:textId="5F8EC1B8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A61B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72D35"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 w:rsidR="00372D35"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9EB1356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22A4DDAE" w14:textId="05B1623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>Daniel Álvarez González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29D92F88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636D3036" w14:textId="11B6A50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F528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>Javier Gómez Pilar</w:t>
            </w:r>
            <w:r w:rsidR="005462B4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6EDF7935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4BEE6501" w14:textId="3B4621D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 xml:space="preserve">Carlos </w:t>
            </w:r>
            <w:r w:rsidR="00241058">
              <w:rPr>
                <w:sz w:val="22"/>
                <w:szCs w:val="22"/>
                <w:lang w:val="es-ES"/>
              </w:rPr>
              <w:t>Gómez</w:t>
            </w:r>
            <w:r w:rsidR="008D25C4">
              <w:rPr>
                <w:sz w:val="22"/>
                <w:szCs w:val="22"/>
                <w:lang w:val="es-ES"/>
              </w:rPr>
              <w:t xml:space="preserve"> Peña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BE5BADC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96CE" w14:textId="77777777" w:rsidR="001D6F98" w:rsidRDefault="001D6F98" w:rsidP="001A5F33">
      <w:r>
        <w:separator/>
      </w:r>
    </w:p>
  </w:endnote>
  <w:endnote w:type="continuationSeparator" w:id="0">
    <w:p w14:paraId="215B1717" w14:textId="77777777" w:rsidR="001D6F98" w:rsidRDefault="001D6F9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450AA" w14:textId="77777777" w:rsidR="001D6F98" w:rsidRDefault="001D6F98" w:rsidP="001A5F33">
      <w:r>
        <w:separator/>
      </w:r>
    </w:p>
  </w:footnote>
  <w:footnote w:type="continuationSeparator" w:id="0">
    <w:p w14:paraId="6735F57A" w14:textId="77777777" w:rsidR="001D6F98" w:rsidRDefault="001D6F9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BE4"/>
    <w:multiLevelType w:val="hybridMultilevel"/>
    <w:tmpl w:val="CA3E6AB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59DF1741"/>
    <w:multiLevelType w:val="hybridMultilevel"/>
    <w:tmpl w:val="E1B0D6B4"/>
    <w:lvl w:ilvl="0" w:tplc="52342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8058">
    <w:abstractNumId w:val="2"/>
  </w:num>
  <w:num w:numId="2" w16cid:durableId="2093577790">
    <w:abstractNumId w:val="1"/>
  </w:num>
  <w:num w:numId="3" w16cid:durableId="1553611874">
    <w:abstractNumId w:val="3"/>
  </w:num>
  <w:num w:numId="4" w16cid:durableId="1849560168">
    <w:abstractNumId w:val="0"/>
  </w:num>
  <w:num w:numId="5" w16cid:durableId="299917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3BAE"/>
    <w:rsid w:val="00080733"/>
    <w:rsid w:val="000905F7"/>
    <w:rsid w:val="00094E5F"/>
    <w:rsid w:val="000A41E6"/>
    <w:rsid w:val="000A443E"/>
    <w:rsid w:val="000B4714"/>
    <w:rsid w:val="000B4FA8"/>
    <w:rsid w:val="000B6093"/>
    <w:rsid w:val="000B7F31"/>
    <w:rsid w:val="000D5488"/>
    <w:rsid w:val="000D5E8A"/>
    <w:rsid w:val="000E1C2F"/>
    <w:rsid w:val="000E73C5"/>
    <w:rsid w:val="001057AD"/>
    <w:rsid w:val="001125FB"/>
    <w:rsid w:val="00125047"/>
    <w:rsid w:val="001322D4"/>
    <w:rsid w:val="00134AFF"/>
    <w:rsid w:val="00144349"/>
    <w:rsid w:val="00147188"/>
    <w:rsid w:val="0017543C"/>
    <w:rsid w:val="00191454"/>
    <w:rsid w:val="001A5F33"/>
    <w:rsid w:val="001D0441"/>
    <w:rsid w:val="001D59A8"/>
    <w:rsid w:val="001D6F98"/>
    <w:rsid w:val="001D7345"/>
    <w:rsid w:val="001E52AB"/>
    <w:rsid w:val="002075AB"/>
    <w:rsid w:val="00232CCC"/>
    <w:rsid w:val="00241058"/>
    <w:rsid w:val="002555E5"/>
    <w:rsid w:val="0027449F"/>
    <w:rsid w:val="00306D6E"/>
    <w:rsid w:val="00313B3A"/>
    <w:rsid w:val="003167BA"/>
    <w:rsid w:val="00321216"/>
    <w:rsid w:val="00322286"/>
    <w:rsid w:val="003704FA"/>
    <w:rsid w:val="0037269A"/>
    <w:rsid w:val="00372D35"/>
    <w:rsid w:val="00394C26"/>
    <w:rsid w:val="00394D46"/>
    <w:rsid w:val="003955CD"/>
    <w:rsid w:val="003A2734"/>
    <w:rsid w:val="003B3ADF"/>
    <w:rsid w:val="00400C29"/>
    <w:rsid w:val="004469EB"/>
    <w:rsid w:val="004A068B"/>
    <w:rsid w:val="004D5592"/>
    <w:rsid w:val="004D6211"/>
    <w:rsid w:val="004F5A97"/>
    <w:rsid w:val="00503DEC"/>
    <w:rsid w:val="00512C3F"/>
    <w:rsid w:val="00523BBD"/>
    <w:rsid w:val="00532743"/>
    <w:rsid w:val="00532C57"/>
    <w:rsid w:val="005428E9"/>
    <w:rsid w:val="005462B4"/>
    <w:rsid w:val="005549A2"/>
    <w:rsid w:val="00576F1E"/>
    <w:rsid w:val="005A726C"/>
    <w:rsid w:val="005B420F"/>
    <w:rsid w:val="005C609B"/>
    <w:rsid w:val="005F2D29"/>
    <w:rsid w:val="006045D5"/>
    <w:rsid w:val="006049E3"/>
    <w:rsid w:val="006111ED"/>
    <w:rsid w:val="00622B54"/>
    <w:rsid w:val="00622FF1"/>
    <w:rsid w:val="0063749D"/>
    <w:rsid w:val="00650C5B"/>
    <w:rsid w:val="00671857"/>
    <w:rsid w:val="00672F3F"/>
    <w:rsid w:val="00675576"/>
    <w:rsid w:val="00693079"/>
    <w:rsid w:val="006B4933"/>
    <w:rsid w:val="006D6089"/>
    <w:rsid w:val="006F1592"/>
    <w:rsid w:val="00706D8A"/>
    <w:rsid w:val="0071190B"/>
    <w:rsid w:val="00713F2C"/>
    <w:rsid w:val="0073575C"/>
    <w:rsid w:val="007448AC"/>
    <w:rsid w:val="00746A7B"/>
    <w:rsid w:val="00790395"/>
    <w:rsid w:val="007A61BF"/>
    <w:rsid w:val="007B012B"/>
    <w:rsid w:val="007B03D3"/>
    <w:rsid w:val="007B2709"/>
    <w:rsid w:val="007D7D0E"/>
    <w:rsid w:val="007E72C0"/>
    <w:rsid w:val="007F5224"/>
    <w:rsid w:val="0080541A"/>
    <w:rsid w:val="00823C40"/>
    <w:rsid w:val="00832DD9"/>
    <w:rsid w:val="00863BDA"/>
    <w:rsid w:val="00897B72"/>
    <w:rsid w:val="008B7827"/>
    <w:rsid w:val="008D0637"/>
    <w:rsid w:val="008D25C4"/>
    <w:rsid w:val="008D2EBF"/>
    <w:rsid w:val="008F4FEB"/>
    <w:rsid w:val="00907F6B"/>
    <w:rsid w:val="00922813"/>
    <w:rsid w:val="00953E04"/>
    <w:rsid w:val="009571E0"/>
    <w:rsid w:val="00987153"/>
    <w:rsid w:val="009D1E9D"/>
    <w:rsid w:val="009E7AF9"/>
    <w:rsid w:val="00A147DA"/>
    <w:rsid w:val="00A20D63"/>
    <w:rsid w:val="00A54EB7"/>
    <w:rsid w:val="00A73811"/>
    <w:rsid w:val="00A81EA0"/>
    <w:rsid w:val="00A865CA"/>
    <w:rsid w:val="00A9184A"/>
    <w:rsid w:val="00B13E4A"/>
    <w:rsid w:val="00B47BED"/>
    <w:rsid w:val="00B6446A"/>
    <w:rsid w:val="00B86E90"/>
    <w:rsid w:val="00B87F7E"/>
    <w:rsid w:val="00BA0607"/>
    <w:rsid w:val="00BC326D"/>
    <w:rsid w:val="00BD3C07"/>
    <w:rsid w:val="00BE2432"/>
    <w:rsid w:val="00C44B7E"/>
    <w:rsid w:val="00C4564E"/>
    <w:rsid w:val="00C5264D"/>
    <w:rsid w:val="00C66BF8"/>
    <w:rsid w:val="00C92E7A"/>
    <w:rsid w:val="00C95471"/>
    <w:rsid w:val="00CA17D5"/>
    <w:rsid w:val="00CA24C2"/>
    <w:rsid w:val="00CD0084"/>
    <w:rsid w:val="00D00B92"/>
    <w:rsid w:val="00D0465F"/>
    <w:rsid w:val="00D13E36"/>
    <w:rsid w:val="00D16731"/>
    <w:rsid w:val="00D365CE"/>
    <w:rsid w:val="00D4699F"/>
    <w:rsid w:val="00D52CE1"/>
    <w:rsid w:val="00D707D2"/>
    <w:rsid w:val="00D73FAB"/>
    <w:rsid w:val="00D810A8"/>
    <w:rsid w:val="00D863B1"/>
    <w:rsid w:val="00D95C21"/>
    <w:rsid w:val="00DC25A2"/>
    <w:rsid w:val="00DD4AE3"/>
    <w:rsid w:val="00DF69E5"/>
    <w:rsid w:val="00E22FB5"/>
    <w:rsid w:val="00E658F7"/>
    <w:rsid w:val="00EA1C8C"/>
    <w:rsid w:val="00EA4C45"/>
    <w:rsid w:val="00EB36E5"/>
    <w:rsid w:val="00ED259C"/>
    <w:rsid w:val="00ED4AF9"/>
    <w:rsid w:val="00EF5289"/>
    <w:rsid w:val="00EF5452"/>
    <w:rsid w:val="00F046BE"/>
    <w:rsid w:val="00F127E0"/>
    <w:rsid w:val="00F20B38"/>
    <w:rsid w:val="00F21D0D"/>
    <w:rsid w:val="00F33610"/>
    <w:rsid w:val="00F33EC3"/>
    <w:rsid w:val="00F355FE"/>
    <w:rsid w:val="00F95A4C"/>
    <w:rsid w:val="00FB186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941">
              <w:marLeft w:val="6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03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2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360</Words>
  <Characters>2089</Characters>
  <Application>Microsoft Office Word</Application>
  <DocSecurity>0</DocSecurity>
  <Lines>56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 GUTIERREZ TOBAL</cp:lastModifiedBy>
  <cp:revision>21</cp:revision>
  <cp:lastPrinted>2022-06-16T18:10:00Z</cp:lastPrinted>
  <dcterms:created xsi:type="dcterms:W3CDTF">2024-10-11T14:23:00Z</dcterms:created>
  <dcterms:modified xsi:type="dcterms:W3CDTF">2024-10-11T15:02:00Z</dcterms:modified>
</cp:coreProperties>
</file>